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shd w:val="clear" w:color="auto" w:fill="F2F2F2"/>
        <w:tblCellMar>
          <w:left w:w="0" w:type="dxa"/>
          <w:right w:w="0" w:type="dxa"/>
        </w:tblCellMar>
        <w:tblLook w:val="04A0" w:firstRow="1" w:lastRow="0" w:firstColumn="1" w:lastColumn="0" w:noHBand="0" w:noVBand="1"/>
      </w:tblPr>
      <w:tblGrid>
        <w:gridCol w:w="300"/>
        <w:gridCol w:w="9444"/>
        <w:gridCol w:w="6"/>
      </w:tblGrid>
      <w:tr w:rsidR="003E63D5" w:rsidRPr="005E3E74" w14:paraId="73EB6989" w14:textId="77777777" w:rsidTr="00E11627">
        <w:trPr>
          <w:tblCellSpacing w:w="0" w:type="dxa"/>
          <w:jc w:val="center"/>
        </w:trPr>
        <w:tc>
          <w:tcPr>
            <w:tcW w:w="9744" w:type="dxa"/>
            <w:gridSpan w:val="2"/>
            <w:shd w:val="clear" w:color="auto" w:fill="F2F2F2"/>
            <w:vAlign w:val="center"/>
          </w:tcPr>
          <w:p w14:paraId="05B8127E" w14:textId="00664108" w:rsidR="003E63D5" w:rsidRPr="005E3E74" w:rsidRDefault="00E11627" w:rsidP="00E11627">
            <w:pPr>
              <w:ind w:firstLine="709"/>
            </w:pPr>
            <w:r>
              <w:rPr>
                <w:noProof/>
              </w:rPr>
              <w:drawing>
                <wp:inline distT="0" distB="0" distL="0" distR="0" wp14:anchorId="6DD96F4C" wp14:editId="498FBAEF">
                  <wp:extent cx="1885950" cy="542925"/>
                  <wp:effectExtent l="0" t="0" r="0" b="9525"/>
                  <wp:docPr id="3" name="Imagen 3" descr="IPSA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AS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542925"/>
                          </a:xfrm>
                          <a:prstGeom prst="rect">
                            <a:avLst/>
                          </a:prstGeom>
                          <a:noFill/>
                          <a:ln>
                            <a:noFill/>
                          </a:ln>
                        </pic:spPr>
                      </pic:pic>
                    </a:graphicData>
                  </a:graphic>
                </wp:inline>
              </w:drawing>
            </w:r>
          </w:p>
        </w:tc>
        <w:tc>
          <w:tcPr>
            <w:tcW w:w="0" w:type="auto"/>
            <w:vMerge w:val="restart"/>
            <w:shd w:val="clear" w:color="auto" w:fill="F2F2F2"/>
            <w:vAlign w:val="center"/>
          </w:tcPr>
          <w:p w14:paraId="01AA0E18" w14:textId="31931BC8" w:rsidR="003E63D5" w:rsidRPr="005E3E74" w:rsidRDefault="003E63D5"/>
        </w:tc>
      </w:tr>
      <w:tr w:rsidR="003E63D5" w:rsidRPr="005E3E74" w14:paraId="34455D17" w14:textId="77777777" w:rsidTr="00E11627">
        <w:trPr>
          <w:tblCellSpacing w:w="0" w:type="dxa"/>
          <w:jc w:val="center"/>
        </w:trPr>
        <w:tc>
          <w:tcPr>
            <w:tcW w:w="0" w:type="auto"/>
            <w:gridSpan w:val="2"/>
            <w:shd w:val="clear" w:color="auto" w:fill="F2F2F2"/>
            <w:vAlign w:val="center"/>
          </w:tcPr>
          <w:p w14:paraId="672FBCD7" w14:textId="739D9B93" w:rsidR="003E63D5" w:rsidRPr="005E3E74" w:rsidRDefault="003E63D5"/>
        </w:tc>
        <w:tc>
          <w:tcPr>
            <w:tcW w:w="0" w:type="auto"/>
            <w:vMerge/>
            <w:shd w:val="clear" w:color="auto" w:fill="F2F2F2"/>
            <w:vAlign w:val="center"/>
          </w:tcPr>
          <w:p w14:paraId="2D6C715A" w14:textId="77777777" w:rsidR="003E63D5" w:rsidRPr="005E3E74" w:rsidRDefault="003E63D5">
            <w:pPr>
              <w:rPr>
                <w:lang w:val="en-US"/>
              </w:rPr>
            </w:pPr>
          </w:p>
        </w:tc>
      </w:tr>
      <w:tr w:rsidR="003E63D5" w:rsidRPr="005E3E74" w14:paraId="0073918F" w14:textId="77777777" w:rsidTr="00E11627">
        <w:trPr>
          <w:tblCellSpacing w:w="0" w:type="dxa"/>
          <w:jc w:val="center"/>
        </w:trPr>
        <w:tc>
          <w:tcPr>
            <w:tcW w:w="0" w:type="auto"/>
            <w:shd w:val="clear" w:color="auto" w:fill="F2F2F2"/>
            <w:vAlign w:val="center"/>
          </w:tcPr>
          <w:p w14:paraId="64111B90" w14:textId="0319F17D" w:rsidR="003E63D5" w:rsidRPr="005E3E74" w:rsidRDefault="003E63D5">
            <w:pPr>
              <w:rPr>
                <w:lang w:val="en-US"/>
              </w:rPr>
            </w:pPr>
          </w:p>
        </w:tc>
        <w:tc>
          <w:tcPr>
            <w:tcW w:w="0" w:type="auto"/>
            <w:shd w:val="clear" w:color="auto" w:fill="F2F2F2"/>
            <w:vAlign w:val="center"/>
          </w:tcPr>
          <w:p w14:paraId="547AFCB3" w14:textId="77777777" w:rsidR="003E63D5" w:rsidRPr="005E3E74" w:rsidRDefault="003E63D5">
            <w:pPr>
              <w:rPr>
                <w:rFonts w:ascii="Times New Roman" w:eastAsia="Times New Roman" w:hAnsi="Times New Roman" w:cs="Times New Roman"/>
                <w:sz w:val="20"/>
                <w:szCs w:val="20"/>
                <w:lang w:val="en-US"/>
              </w:rPr>
            </w:pPr>
          </w:p>
        </w:tc>
        <w:tc>
          <w:tcPr>
            <w:tcW w:w="0" w:type="auto"/>
            <w:vMerge/>
            <w:shd w:val="clear" w:color="auto" w:fill="F2F2F2"/>
            <w:vAlign w:val="center"/>
          </w:tcPr>
          <w:p w14:paraId="0D3D36FF" w14:textId="77777777" w:rsidR="003E63D5" w:rsidRPr="005E3E74" w:rsidRDefault="003E63D5">
            <w:pPr>
              <w:rPr>
                <w:lang w:val="en-US"/>
              </w:rPr>
            </w:pPr>
          </w:p>
        </w:tc>
      </w:tr>
      <w:tr w:rsidR="003E63D5" w:rsidRPr="005E3E74" w14:paraId="697196AB" w14:textId="77777777" w:rsidTr="003E63D5">
        <w:trPr>
          <w:tblCellSpacing w:w="0" w:type="dxa"/>
          <w:jc w:val="center"/>
        </w:trPr>
        <w:tc>
          <w:tcPr>
            <w:tcW w:w="0" w:type="auto"/>
            <w:shd w:val="clear" w:color="auto" w:fill="F2F2F2"/>
            <w:vAlign w:val="center"/>
            <w:hideMark/>
          </w:tcPr>
          <w:p w14:paraId="0971A5D3" w14:textId="074388D1" w:rsidR="003E63D5" w:rsidRPr="005E3E74" w:rsidRDefault="003E63D5">
            <w:r>
              <w:rPr>
                <w:noProof/>
              </w:rPr>
              <w:drawing>
                <wp:inline distT="0" distB="0" distL="0" distR="0" wp14:anchorId="06709CBF" wp14:editId="21A30D57">
                  <wp:extent cx="190500" cy="1428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0" w:type="auto"/>
            <w:shd w:val="clear" w:color="auto" w:fill="F2F2F2"/>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0"/>
              <w:gridCol w:w="8824"/>
              <w:gridCol w:w="310"/>
            </w:tblGrid>
            <w:tr w:rsidR="003E63D5" w:rsidRPr="00E11627" w14:paraId="7C2F05F7" w14:textId="77777777">
              <w:trPr>
                <w:tblCellSpacing w:w="0" w:type="dxa"/>
              </w:trPr>
              <w:tc>
                <w:tcPr>
                  <w:tcW w:w="0" w:type="auto"/>
                  <w:gridSpan w:val="3"/>
                  <w:shd w:val="clear" w:color="auto" w:fill="FFFFFF"/>
                  <w:vAlign w:val="center"/>
                  <w:hideMark/>
                </w:tcPr>
                <w:p w14:paraId="67F34F1D" w14:textId="159E4CBE" w:rsidR="003E63D5" w:rsidRPr="00E11627" w:rsidRDefault="003E63D5" w:rsidP="00E11627">
                  <w:pPr>
                    <w:jc w:val="both"/>
                    <w:rPr>
                      <w:rFonts w:ascii="Verdana" w:hAnsi="Verdana"/>
                      <w:lang w:val="en-US"/>
                    </w:rPr>
                  </w:pPr>
                </w:p>
              </w:tc>
            </w:tr>
            <w:tr w:rsidR="003E63D5" w:rsidRPr="00E11627" w14:paraId="6E7B9179" w14:textId="77777777" w:rsidTr="003E63D5">
              <w:trPr>
                <w:tblCellSpacing w:w="0" w:type="dxa"/>
              </w:trPr>
              <w:tc>
                <w:tcPr>
                  <w:tcW w:w="0" w:type="auto"/>
                  <w:shd w:val="clear" w:color="auto" w:fill="FFFFFF"/>
                  <w:vAlign w:val="center"/>
                  <w:hideMark/>
                </w:tcPr>
                <w:p w14:paraId="3304CD4B" w14:textId="4B7060BF" w:rsidR="003E63D5" w:rsidRPr="00E11627" w:rsidRDefault="003E63D5" w:rsidP="00E11627">
                  <w:pPr>
                    <w:jc w:val="both"/>
                    <w:rPr>
                      <w:rFonts w:ascii="Verdana" w:hAnsi="Verdana"/>
                    </w:rPr>
                  </w:pPr>
                  <w:r w:rsidRPr="00E11627">
                    <w:rPr>
                      <w:rFonts w:ascii="Verdana" w:hAnsi="Verdana"/>
                      <w:noProof/>
                    </w:rPr>
                    <w:drawing>
                      <wp:inline distT="0" distB="0" distL="0" distR="0" wp14:anchorId="3296E314" wp14:editId="1DBF3567">
                        <wp:extent cx="190500" cy="1428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4672" w:type="pct"/>
                  <w:shd w:val="clear" w:color="auto" w:fill="FFFFFF"/>
                  <w:vAlign w:val="center"/>
                  <w:hideMark/>
                </w:tcPr>
                <w:p w14:paraId="5A4473C3" w14:textId="57866FEE" w:rsidR="003E63D5" w:rsidRPr="00E11627" w:rsidRDefault="00103B82" w:rsidP="00AB720C">
                  <w:pPr>
                    <w:jc w:val="center"/>
                    <w:rPr>
                      <w:rFonts w:ascii="Verdana" w:hAnsi="Verdana"/>
                    </w:rPr>
                  </w:pPr>
                  <w:r w:rsidRPr="00E11627">
                    <w:rPr>
                      <w:rStyle w:val="Textoennegrita"/>
                      <w:rFonts w:ascii="Verdana" w:hAnsi="Verdana"/>
                    </w:rPr>
                    <w:t xml:space="preserve">Se inicia búsqueda global de nuevos </w:t>
                  </w:r>
                  <w:r w:rsidR="00AB720C">
                    <w:rPr>
                      <w:rStyle w:val="Textoennegrita"/>
                      <w:rFonts w:ascii="Verdana" w:hAnsi="Verdana"/>
                    </w:rPr>
                    <w:t>m</w:t>
                  </w:r>
                  <w:r w:rsidRPr="00E11627">
                    <w:rPr>
                      <w:rStyle w:val="Textoennegrita"/>
                      <w:rFonts w:ascii="Verdana" w:hAnsi="Verdana"/>
                    </w:rPr>
                    <w:t>iembros del Consejo de Normas Internacionales de Contabilidad para el Sector Público</w:t>
                  </w:r>
                </w:p>
              </w:tc>
              <w:tc>
                <w:tcPr>
                  <w:tcW w:w="0" w:type="auto"/>
                  <w:shd w:val="clear" w:color="auto" w:fill="FFFFFF"/>
                  <w:vAlign w:val="center"/>
                  <w:hideMark/>
                </w:tcPr>
                <w:p w14:paraId="0F19DE8D" w14:textId="789EC91B" w:rsidR="003E63D5" w:rsidRPr="00E11627" w:rsidRDefault="003E63D5" w:rsidP="00E11627">
                  <w:pPr>
                    <w:jc w:val="both"/>
                    <w:rPr>
                      <w:rFonts w:ascii="Verdana" w:hAnsi="Verdana"/>
                    </w:rPr>
                  </w:pPr>
                  <w:r w:rsidRPr="00E11627">
                    <w:rPr>
                      <w:rFonts w:ascii="Verdana" w:hAnsi="Verdana"/>
                      <w:noProof/>
                    </w:rPr>
                    <w:drawing>
                      <wp:inline distT="0" distB="0" distL="0" distR="0" wp14:anchorId="6192356E" wp14:editId="2635CA4E">
                        <wp:extent cx="190500" cy="14287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r w:rsidR="003E63D5" w:rsidRPr="00E11627" w14:paraId="6FBC04B7" w14:textId="77777777">
              <w:trPr>
                <w:tblCellSpacing w:w="0" w:type="dxa"/>
              </w:trPr>
              <w:tc>
                <w:tcPr>
                  <w:tcW w:w="0" w:type="auto"/>
                  <w:gridSpan w:val="3"/>
                  <w:shd w:val="clear" w:color="auto" w:fill="FFFFFF"/>
                  <w:vAlign w:val="center"/>
                  <w:hideMark/>
                </w:tcPr>
                <w:p w14:paraId="4356B073" w14:textId="7002D75E" w:rsidR="003E63D5" w:rsidRPr="00E11627" w:rsidRDefault="003E63D5" w:rsidP="00E11627">
                  <w:pPr>
                    <w:jc w:val="both"/>
                    <w:rPr>
                      <w:rFonts w:ascii="Verdana" w:hAnsi="Verdana"/>
                    </w:rPr>
                  </w:pPr>
                  <w:r w:rsidRPr="00E11627">
                    <w:rPr>
                      <w:rFonts w:ascii="Verdana" w:hAnsi="Verdana"/>
                      <w:noProof/>
                    </w:rPr>
                    <w:drawing>
                      <wp:inline distT="0" distB="0" distL="0" distR="0" wp14:anchorId="0D5E93E6" wp14:editId="0F69FC5B">
                        <wp:extent cx="190500" cy="4762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47625"/>
                                </a:xfrm>
                                <a:prstGeom prst="rect">
                                  <a:avLst/>
                                </a:prstGeom>
                                <a:noFill/>
                                <a:ln>
                                  <a:noFill/>
                                </a:ln>
                              </pic:spPr>
                            </pic:pic>
                          </a:graphicData>
                        </a:graphic>
                      </wp:inline>
                    </w:drawing>
                  </w:r>
                </w:p>
              </w:tc>
            </w:tr>
            <w:tr w:rsidR="003E63D5" w:rsidRPr="00E11627" w14:paraId="5EDA3231" w14:textId="77777777">
              <w:trPr>
                <w:tblCellSpacing w:w="0" w:type="dxa"/>
              </w:trPr>
              <w:tc>
                <w:tcPr>
                  <w:tcW w:w="0" w:type="auto"/>
                  <w:shd w:val="clear" w:color="auto" w:fill="FFFFFF"/>
                  <w:vAlign w:val="center"/>
                  <w:hideMark/>
                </w:tcPr>
                <w:p w14:paraId="1B0DD1A0" w14:textId="72191CF8" w:rsidR="003E63D5" w:rsidRPr="00E11627" w:rsidRDefault="003E63D5" w:rsidP="00E11627">
                  <w:pPr>
                    <w:jc w:val="both"/>
                    <w:rPr>
                      <w:rFonts w:ascii="Verdana" w:hAnsi="Verdana"/>
                    </w:rPr>
                  </w:pPr>
                  <w:r w:rsidRPr="00E11627">
                    <w:rPr>
                      <w:rFonts w:ascii="Verdana" w:hAnsi="Verdana"/>
                      <w:noProof/>
                    </w:rPr>
                    <w:drawing>
                      <wp:inline distT="0" distB="0" distL="0" distR="0" wp14:anchorId="005C9C00" wp14:editId="6E8EA9E8">
                        <wp:extent cx="190500" cy="95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vAlign w:val="center"/>
                  <w:hideMark/>
                </w:tcPr>
                <w:p w14:paraId="7C2FA563" w14:textId="77777777" w:rsidR="003E63D5" w:rsidRPr="00E11627" w:rsidRDefault="003E63D5" w:rsidP="00E11627">
                  <w:pPr>
                    <w:pStyle w:val="NormalWeb"/>
                    <w:spacing w:line="240" w:lineRule="atLeast"/>
                    <w:jc w:val="both"/>
                    <w:rPr>
                      <w:rFonts w:ascii="Verdana" w:hAnsi="Verdana"/>
                      <w:color w:val="101010"/>
                    </w:rPr>
                  </w:pPr>
                  <w:r w:rsidRPr="00E11627">
                    <w:rPr>
                      <w:rFonts w:ascii="Verdana" w:hAnsi="Verdana"/>
                      <w:color w:val="101010"/>
                    </w:rPr>
                    <w:t>(27 de noviembre de 2019)</w:t>
                  </w:r>
                </w:p>
              </w:tc>
              <w:tc>
                <w:tcPr>
                  <w:tcW w:w="0" w:type="auto"/>
                  <w:shd w:val="clear" w:color="auto" w:fill="FFFFFF"/>
                  <w:vAlign w:val="center"/>
                  <w:hideMark/>
                </w:tcPr>
                <w:p w14:paraId="4AE8C4FE" w14:textId="58B2A930" w:rsidR="003E63D5" w:rsidRPr="00E11627" w:rsidRDefault="003E63D5" w:rsidP="00E11627">
                  <w:pPr>
                    <w:jc w:val="both"/>
                    <w:rPr>
                      <w:rFonts w:ascii="Verdana" w:hAnsi="Verdana"/>
                    </w:rPr>
                  </w:pPr>
                  <w:r w:rsidRPr="00E11627">
                    <w:rPr>
                      <w:rFonts w:ascii="Verdana" w:hAnsi="Verdana"/>
                      <w:noProof/>
                    </w:rPr>
                    <w:drawing>
                      <wp:inline distT="0" distB="0" distL="0" distR="0" wp14:anchorId="7BD95D60" wp14:editId="0E867E94">
                        <wp:extent cx="190500" cy="95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r w:rsidR="003E63D5" w:rsidRPr="00E11627" w14:paraId="51AB7557" w14:textId="77777777">
              <w:trPr>
                <w:tblCellSpacing w:w="0" w:type="dxa"/>
              </w:trPr>
              <w:tc>
                <w:tcPr>
                  <w:tcW w:w="0" w:type="auto"/>
                  <w:gridSpan w:val="3"/>
                  <w:shd w:val="clear" w:color="auto" w:fill="FFFFFF"/>
                  <w:vAlign w:val="center"/>
                  <w:hideMark/>
                </w:tcPr>
                <w:p w14:paraId="73C46D8B" w14:textId="2584CCEA" w:rsidR="003E63D5" w:rsidRPr="00E11627" w:rsidRDefault="003E63D5" w:rsidP="00E11627">
                  <w:pPr>
                    <w:jc w:val="both"/>
                    <w:rPr>
                      <w:rFonts w:ascii="Verdana" w:hAnsi="Verdana"/>
                    </w:rPr>
                  </w:pPr>
                  <w:r w:rsidRPr="00E11627">
                    <w:rPr>
                      <w:rFonts w:ascii="Verdana" w:hAnsi="Verdana"/>
                      <w:noProof/>
                    </w:rPr>
                    <w:drawing>
                      <wp:inline distT="0" distB="0" distL="0" distR="0" wp14:anchorId="5CE0209D" wp14:editId="6CCD92C7">
                        <wp:extent cx="190500" cy="952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r>
          </w:tbl>
          <w:p w14:paraId="39C17095" w14:textId="77777777" w:rsidR="003E63D5" w:rsidRPr="00E11627" w:rsidRDefault="003E63D5" w:rsidP="00E11627">
            <w:pPr>
              <w:jc w:val="both"/>
              <w:rPr>
                <w:rFonts w:ascii="Verdana" w:eastAsia="Times New Roman" w:hAnsi="Verdana" w:cs="Times New Roman"/>
                <w:lang w:val="en-US"/>
              </w:rPr>
            </w:pPr>
          </w:p>
        </w:tc>
        <w:tc>
          <w:tcPr>
            <w:tcW w:w="0" w:type="auto"/>
            <w:vMerge/>
            <w:shd w:val="clear" w:color="auto" w:fill="F2F2F2"/>
            <w:vAlign w:val="center"/>
            <w:hideMark/>
          </w:tcPr>
          <w:p w14:paraId="4D08E622" w14:textId="77777777" w:rsidR="003E63D5" w:rsidRPr="005E3E74" w:rsidRDefault="003E63D5">
            <w:pPr>
              <w:rPr>
                <w:lang w:val="en-US"/>
              </w:rPr>
            </w:pPr>
          </w:p>
        </w:tc>
      </w:tr>
      <w:tr w:rsidR="003E63D5" w:rsidRPr="005E3E74" w14:paraId="38D26E56" w14:textId="77777777" w:rsidTr="003E63D5">
        <w:trPr>
          <w:tblCellSpacing w:w="0" w:type="dxa"/>
          <w:jc w:val="center"/>
        </w:trPr>
        <w:tc>
          <w:tcPr>
            <w:tcW w:w="0" w:type="auto"/>
            <w:shd w:val="clear" w:color="auto" w:fill="F2F2F2"/>
            <w:vAlign w:val="center"/>
            <w:hideMark/>
          </w:tcPr>
          <w:p w14:paraId="6EAD755B" w14:textId="45FB2F28" w:rsidR="003E63D5" w:rsidRPr="005E3E74" w:rsidRDefault="003E63D5">
            <w:r>
              <w:rPr>
                <w:noProof/>
              </w:rPr>
              <w:drawing>
                <wp:inline distT="0" distB="0" distL="0" distR="0" wp14:anchorId="49AD33F9" wp14:editId="47774768">
                  <wp:extent cx="190500" cy="1428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00"/>
              <w:gridCol w:w="8844"/>
              <w:gridCol w:w="300"/>
            </w:tblGrid>
            <w:tr w:rsidR="003E63D5" w:rsidRPr="00E11627" w14:paraId="444BBBCA" w14:textId="77777777">
              <w:trPr>
                <w:tblCellSpacing w:w="0" w:type="dxa"/>
              </w:trPr>
              <w:tc>
                <w:tcPr>
                  <w:tcW w:w="0" w:type="auto"/>
                  <w:vAlign w:val="center"/>
                  <w:hideMark/>
                </w:tcPr>
                <w:p w14:paraId="0F7C0698" w14:textId="3FA3F3D6" w:rsidR="003E63D5" w:rsidRPr="00E11627" w:rsidRDefault="003E63D5" w:rsidP="00E11627">
                  <w:pPr>
                    <w:jc w:val="both"/>
                    <w:rPr>
                      <w:rFonts w:ascii="Verdana" w:hAnsi="Verdana"/>
                    </w:rPr>
                  </w:pPr>
                  <w:r w:rsidRPr="00E11627">
                    <w:rPr>
                      <w:rFonts w:ascii="Verdana" w:hAnsi="Verdana"/>
                      <w:noProof/>
                    </w:rPr>
                    <w:drawing>
                      <wp:inline distT="0" distB="0" distL="0" distR="0" wp14:anchorId="14AFC681" wp14:editId="38D4328C">
                        <wp:extent cx="190500" cy="1428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0" w:type="auto"/>
                  <w:vAlign w:val="center"/>
                  <w:hideMark/>
                </w:tcPr>
                <w:p w14:paraId="28BEF55B" w14:textId="5C8EABF5" w:rsidR="003E63D5" w:rsidRPr="00E11627" w:rsidRDefault="005E3E74" w:rsidP="00E11627">
                  <w:pPr>
                    <w:jc w:val="both"/>
                    <w:rPr>
                      <w:rFonts w:ascii="Verdana" w:hAnsi="Verdana"/>
                      <w:color w:val="101010"/>
                    </w:rPr>
                  </w:pPr>
                  <w:r w:rsidRPr="00E11627">
                    <w:rPr>
                      <w:rFonts w:ascii="Verdana" w:hAnsi="Verdana"/>
                      <w:color w:val="101010"/>
                    </w:rPr>
                    <w:t xml:space="preserve">El Comité de Postulaciones está en busca de candidatos para ocupar siete vacantes en el IPSASB (Consejo de Normas Internacionales de Contabilidad para el Sector Público, por sus siglas en inglés), entre las cuales una es para un miembro de interés general (miembro de un consejo independiente de normalización). Estos </w:t>
                  </w:r>
                  <w:r w:rsidR="00226D91">
                    <w:rPr>
                      <w:rFonts w:ascii="Verdana" w:hAnsi="Verdana"/>
                      <w:color w:val="101010"/>
                    </w:rPr>
                    <w:t>m</w:t>
                  </w:r>
                  <w:r w:rsidRPr="00E11627">
                    <w:rPr>
                      <w:rFonts w:ascii="Verdana" w:hAnsi="Verdana"/>
                      <w:color w:val="101010"/>
                    </w:rPr>
                    <w:t xml:space="preserve">iembros del Consejo desempeñarán sus funciones durante un periodo inicial de hasta tres años, que comienza el </w:t>
                  </w:r>
                  <w:r w:rsidR="00226D91">
                    <w:rPr>
                      <w:rFonts w:ascii="Verdana" w:hAnsi="Verdana"/>
                      <w:color w:val="101010"/>
                    </w:rPr>
                    <w:t>0</w:t>
                  </w:r>
                  <w:r w:rsidRPr="00E11627">
                    <w:rPr>
                      <w:rFonts w:ascii="Verdana" w:hAnsi="Verdana"/>
                      <w:color w:val="101010"/>
                    </w:rPr>
                    <w:t>1 de enero de 2021.</w:t>
                  </w:r>
                </w:p>
                <w:p w14:paraId="68A767C8" w14:textId="77777777" w:rsidR="003E63D5" w:rsidRPr="00E11627" w:rsidRDefault="003E63D5" w:rsidP="00E11627">
                  <w:pPr>
                    <w:jc w:val="both"/>
                    <w:rPr>
                      <w:rFonts w:ascii="Verdana" w:hAnsi="Verdana"/>
                      <w:color w:val="101010"/>
                    </w:rPr>
                  </w:pPr>
                </w:p>
                <w:p w14:paraId="352A0136" w14:textId="1C529940" w:rsidR="003E63D5" w:rsidRPr="00E11627" w:rsidRDefault="005E3E74" w:rsidP="00E11627">
                  <w:pPr>
                    <w:jc w:val="both"/>
                    <w:rPr>
                      <w:rFonts w:ascii="Verdana" w:hAnsi="Verdana"/>
                      <w:color w:val="101010"/>
                    </w:rPr>
                  </w:pPr>
                  <w:r w:rsidRPr="00E11627">
                    <w:rPr>
                      <w:rFonts w:ascii="Verdana" w:hAnsi="Verdana"/>
                      <w:color w:val="101010"/>
                    </w:rPr>
                    <w:t xml:space="preserve">Para aumentar la diversidad en el Consejo, al Comité de Postulaciones le interesa recibir </w:t>
                  </w:r>
                  <w:r w:rsidR="00226D91" w:rsidRPr="00E11627">
                    <w:rPr>
                      <w:rFonts w:ascii="Verdana" w:hAnsi="Verdana"/>
                      <w:color w:val="101010"/>
                    </w:rPr>
                    <w:t>especialmente</w:t>
                  </w:r>
                  <w:r w:rsidR="00226D91" w:rsidRPr="00E11627">
                    <w:rPr>
                      <w:rFonts w:ascii="Verdana" w:hAnsi="Verdana"/>
                      <w:color w:val="101010"/>
                    </w:rPr>
                    <w:t xml:space="preserve"> </w:t>
                  </w:r>
                  <w:r w:rsidRPr="00E11627">
                    <w:rPr>
                      <w:rFonts w:ascii="Verdana" w:hAnsi="Verdana"/>
                      <w:color w:val="101010"/>
                    </w:rPr>
                    <w:t xml:space="preserve">postulaciones de candidatas y postulaciones de las siguientes regiones: Asia, </w:t>
                  </w:r>
                  <w:r w:rsidR="00226D91">
                    <w:rPr>
                      <w:rFonts w:ascii="Verdana" w:hAnsi="Verdana"/>
                      <w:color w:val="101010"/>
                    </w:rPr>
                    <w:t>Á</w:t>
                  </w:r>
                  <w:r w:rsidRPr="00E11627">
                    <w:rPr>
                      <w:rFonts w:ascii="Verdana" w:hAnsi="Verdana"/>
                      <w:color w:val="101010"/>
                    </w:rPr>
                    <w:t>frica y Oriente Próximo</w:t>
                  </w:r>
                  <w:r w:rsidR="00226D91">
                    <w:rPr>
                      <w:rFonts w:ascii="Verdana" w:hAnsi="Verdana"/>
                      <w:color w:val="101010"/>
                    </w:rPr>
                    <w:t xml:space="preserve">, </w:t>
                  </w:r>
                  <w:r w:rsidRPr="00E11627">
                    <w:rPr>
                      <w:rFonts w:ascii="Verdana" w:hAnsi="Verdana"/>
                      <w:color w:val="101010"/>
                    </w:rPr>
                    <w:t>América Latina y el Caribe.</w:t>
                  </w:r>
                </w:p>
                <w:p w14:paraId="5EF2FC00" w14:textId="77777777" w:rsidR="00EC1C1C" w:rsidRPr="00E11627" w:rsidRDefault="00EC1C1C" w:rsidP="00E11627">
                  <w:pPr>
                    <w:jc w:val="both"/>
                    <w:rPr>
                      <w:rFonts w:ascii="Verdana" w:hAnsi="Verdana"/>
                      <w:color w:val="101010"/>
                    </w:rPr>
                  </w:pPr>
                </w:p>
                <w:p w14:paraId="2415A34D" w14:textId="34A4E471" w:rsidR="003E63D5" w:rsidRPr="00E11627" w:rsidRDefault="005E3E74" w:rsidP="00E11627">
                  <w:pPr>
                    <w:jc w:val="both"/>
                    <w:rPr>
                      <w:rFonts w:ascii="Verdana" w:hAnsi="Verdana"/>
                      <w:color w:val="101010"/>
                    </w:rPr>
                  </w:pPr>
                  <w:r w:rsidRPr="00E11627">
                    <w:rPr>
                      <w:rFonts w:ascii="Verdana" w:hAnsi="Verdana"/>
                      <w:color w:val="101010"/>
                    </w:rPr>
                    <w:t xml:space="preserve">Preferiblemente, los candidatos han de tener experiencia en el sector público, un gran interés en cuestiones contables técnicas o experiencia en normalización para </w:t>
                  </w:r>
                  <w:r w:rsidR="00DF138A">
                    <w:rPr>
                      <w:rFonts w:ascii="Verdana" w:hAnsi="Verdana"/>
                      <w:color w:val="101010"/>
                    </w:rPr>
                    <w:t xml:space="preserve">estar en capacidad de </w:t>
                  </w:r>
                  <w:r w:rsidRPr="00E11627">
                    <w:rPr>
                      <w:rFonts w:ascii="Verdana" w:hAnsi="Verdana"/>
                      <w:color w:val="101010"/>
                    </w:rPr>
                    <w:t xml:space="preserve">aportar valor al trabajo del Consejo. </w:t>
                  </w:r>
                  <w:r w:rsidR="00F75B38">
                    <w:rPr>
                      <w:rFonts w:ascii="Verdana" w:hAnsi="Verdana"/>
                      <w:color w:val="101010"/>
                    </w:rPr>
                    <w:br/>
                    <w:t>De igual manera, t</w:t>
                  </w:r>
                  <w:r w:rsidRPr="00E11627">
                    <w:rPr>
                      <w:rFonts w:ascii="Verdana" w:hAnsi="Verdana"/>
                      <w:color w:val="101010"/>
                    </w:rPr>
                    <w:t>ener dominio del inglés es esencial</w:t>
                  </w:r>
                  <w:r w:rsidR="00AC3590">
                    <w:rPr>
                      <w:rFonts w:ascii="Verdana" w:hAnsi="Verdana"/>
                      <w:color w:val="101010"/>
                    </w:rPr>
                    <w:t xml:space="preserve">, pues </w:t>
                  </w:r>
                  <w:r w:rsidRPr="00E11627">
                    <w:rPr>
                      <w:rFonts w:ascii="Verdana" w:hAnsi="Verdana"/>
                      <w:color w:val="101010"/>
                    </w:rPr>
                    <w:t xml:space="preserve">es el idioma </w:t>
                  </w:r>
                  <w:r w:rsidR="00AC3590">
                    <w:rPr>
                      <w:rFonts w:ascii="Verdana" w:hAnsi="Verdana"/>
                      <w:color w:val="101010"/>
                    </w:rPr>
                    <w:t>con</w:t>
                  </w:r>
                  <w:r w:rsidRPr="00E11627">
                    <w:rPr>
                      <w:rFonts w:ascii="Verdana" w:hAnsi="Verdana"/>
                      <w:color w:val="101010"/>
                    </w:rPr>
                    <w:t xml:space="preserve"> el cual el IPSASB trabaja.</w:t>
                  </w:r>
                </w:p>
                <w:p w14:paraId="7E70E9ED" w14:textId="4CCB2840" w:rsidR="00800440" w:rsidRPr="00E11627" w:rsidRDefault="00800440" w:rsidP="00E11627">
                  <w:pPr>
                    <w:jc w:val="both"/>
                    <w:rPr>
                      <w:rFonts w:ascii="Verdana" w:hAnsi="Verdana"/>
                      <w:color w:val="101010"/>
                    </w:rPr>
                  </w:pPr>
                </w:p>
                <w:p w14:paraId="29D10212" w14:textId="1499E3D6" w:rsidR="00800440" w:rsidRPr="00E11627" w:rsidRDefault="005E3E74" w:rsidP="00E11627">
                  <w:pPr>
                    <w:jc w:val="both"/>
                    <w:rPr>
                      <w:rFonts w:ascii="Verdana" w:hAnsi="Verdana"/>
                      <w:color w:val="101010"/>
                    </w:rPr>
                  </w:pPr>
                  <w:r w:rsidRPr="00E11627">
                    <w:rPr>
                      <w:rFonts w:ascii="Verdana" w:hAnsi="Verdana"/>
                      <w:color w:val="101010"/>
                    </w:rPr>
                    <w:t>Se buscan postulaciones de candidatos de una amplia gama de campos profesionales, como:</w:t>
                  </w:r>
                </w:p>
                <w:p w14:paraId="06BA24BF" w14:textId="2E206883" w:rsidR="005E3E74" w:rsidRPr="00E11627" w:rsidRDefault="005E3E74" w:rsidP="00E11627">
                  <w:pPr>
                    <w:jc w:val="both"/>
                    <w:rPr>
                      <w:rFonts w:ascii="Verdana" w:hAnsi="Verdana"/>
                      <w:color w:val="101010"/>
                    </w:rPr>
                  </w:pPr>
                </w:p>
                <w:p w14:paraId="58B8474B" w14:textId="085DF8B9" w:rsidR="005E3E74" w:rsidRPr="00E11627" w:rsidRDefault="005E3E74" w:rsidP="00E11627">
                  <w:pPr>
                    <w:numPr>
                      <w:ilvl w:val="0"/>
                      <w:numId w:val="2"/>
                    </w:numPr>
                    <w:jc w:val="both"/>
                    <w:rPr>
                      <w:rFonts w:ascii="Verdana" w:eastAsia="Times New Roman" w:hAnsi="Verdana"/>
                      <w:color w:val="101010"/>
                    </w:rPr>
                  </w:pPr>
                  <w:r w:rsidRPr="00E11627">
                    <w:rPr>
                      <w:rFonts w:ascii="Verdana" w:hAnsi="Verdana"/>
                      <w:color w:val="101010"/>
                    </w:rPr>
                    <w:t>Quienes elaboran estados financieros conforme a la contabilidad de devengo, tales como los que entregan información directa o indirectamente de conformidad con las Normas Internacionales de Contabilidad del Sector Público (NICSP) o están en el proceso de transición hacia las NICSP u otro marco de contabilidad de devengo.</w:t>
                  </w:r>
                </w:p>
                <w:p w14:paraId="3093FF29" w14:textId="77777777" w:rsidR="005E3E74" w:rsidRPr="00E11627" w:rsidRDefault="005E3E74" w:rsidP="00E11627">
                  <w:pPr>
                    <w:numPr>
                      <w:ilvl w:val="0"/>
                      <w:numId w:val="2"/>
                    </w:numPr>
                    <w:jc w:val="both"/>
                    <w:rPr>
                      <w:rFonts w:ascii="Verdana" w:eastAsia="Times New Roman" w:hAnsi="Verdana"/>
                      <w:color w:val="101010"/>
                    </w:rPr>
                  </w:pPr>
                  <w:r w:rsidRPr="00E11627">
                    <w:rPr>
                      <w:rFonts w:ascii="Verdana" w:hAnsi="Verdana"/>
                      <w:color w:val="101010"/>
                    </w:rPr>
                    <w:t>Ministros de Finanzas (Economía o Hacienda) y Departamentos del Tesoro.</w:t>
                  </w:r>
                </w:p>
                <w:p w14:paraId="38B0857D" w14:textId="77777777" w:rsidR="005E3E74" w:rsidRPr="00E11627" w:rsidRDefault="005E3E74" w:rsidP="00E11627">
                  <w:pPr>
                    <w:numPr>
                      <w:ilvl w:val="0"/>
                      <w:numId w:val="2"/>
                    </w:numPr>
                    <w:jc w:val="both"/>
                    <w:rPr>
                      <w:rFonts w:ascii="Verdana" w:eastAsia="Times New Roman" w:hAnsi="Verdana"/>
                      <w:color w:val="101010"/>
                    </w:rPr>
                  </w:pPr>
                  <w:r w:rsidRPr="00E11627">
                    <w:rPr>
                      <w:rFonts w:ascii="Verdana" w:hAnsi="Verdana"/>
                      <w:color w:val="101010"/>
                    </w:rPr>
                    <w:t>Organizaciones internacionales y regionales de desarrollo.</w:t>
                  </w:r>
                </w:p>
                <w:p w14:paraId="1587FDA9" w14:textId="77777777" w:rsidR="005E3E74" w:rsidRPr="00E11627" w:rsidRDefault="005E3E74" w:rsidP="00E11627">
                  <w:pPr>
                    <w:numPr>
                      <w:ilvl w:val="0"/>
                      <w:numId w:val="2"/>
                    </w:numPr>
                    <w:jc w:val="both"/>
                    <w:rPr>
                      <w:rFonts w:ascii="Verdana" w:eastAsia="Times New Roman" w:hAnsi="Verdana"/>
                      <w:color w:val="101010"/>
                    </w:rPr>
                  </w:pPr>
                  <w:r w:rsidRPr="00E11627">
                    <w:rPr>
                      <w:rFonts w:ascii="Verdana" w:hAnsi="Verdana"/>
                      <w:color w:val="101010"/>
                    </w:rPr>
                    <w:t>Auditores externos del sector público.</w:t>
                  </w:r>
                </w:p>
                <w:p w14:paraId="2C563B1D" w14:textId="7882415A" w:rsidR="005E3E74" w:rsidRPr="00E11627" w:rsidRDefault="005E3E74" w:rsidP="00E11627">
                  <w:pPr>
                    <w:numPr>
                      <w:ilvl w:val="0"/>
                      <w:numId w:val="2"/>
                    </w:numPr>
                    <w:jc w:val="both"/>
                    <w:rPr>
                      <w:rFonts w:ascii="Verdana" w:eastAsia="Times New Roman" w:hAnsi="Verdana"/>
                      <w:color w:val="101010"/>
                    </w:rPr>
                  </w:pPr>
                  <w:r w:rsidRPr="00E11627">
                    <w:rPr>
                      <w:rFonts w:ascii="Verdana" w:hAnsi="Verdana"/>
                      <w:color w:val="101010"/>
                    </w:rPr>
                    <w:t>Usuarios de informes financieros con fines generales, tales como parlamentarios, oficinas de presupuesto y agencias de calificación crediticia.</w:t>
                  </w:r>
                </w:p>
                <w:p w14:paraId="5CB1105A" w14:textId="77777777" w:rsidR="00800440" w:rsidRPr="00E11627" w:rsidRDefault="00800440" w:rsidP="00E11627">
                  <w:pPr>
                    <w:jc w:val="both"/>
                    <w:rPr>
                      <w:rFonts w:ascii="Verdana" w:hAnsi="Verdana"/>
                      <w:color w:val="101010"/>
                    </w:rPr>
                  </w:pPr>
                </w:p>
                <w:p w14:paraId="6647C4D1" w14:textId="6EC64954" w:rsidR="00800440" w:rsidRPr="00E11627" w:rsidRDefault="005E3E74" w:rsidP="00E11627">
                  <w:pPr>
                    <w:jc w:val="both"/>
                    <w:rPr>
                      <w:rFonts w:ascii="Verdana" w:hAnsi="Verdana"/>
                      <w:color w:val="101010"/>
                    </w:rPr>
                  </w:pPr>
                  <w:r w:rsidRPr="00E11627">
                    <w:rPr>
                      <w:rFonts w:ascii="Verdana" w:hAnsi="Verdana"/>
                      <w:color w:val="101010"/>
                    </w:rPr>
                    <w:t>Se invita a todas las partes interesadas, incluso al público en general, a las organizaciones miembros de la IFAC y al Foro de Firmas</w:t>
                  </w:r>
                  <w:r w:rsidR="009D2973">
                    <w:rPr>
                      <w:rFonts w:ascii="Verdana" w:hAnsi="Verdana"/>
                      <w:color w:val="101010"/>
                    </w:rPr>
                    <w:t>,</w:t>
                  </w:r>
                  <w:r w:rsidRPr="00E11627">
                    <w:rPr>
                      <w:rFonts w:ascii="Verdana" w:hAnsi="Verdana"/>
                      <w:color w:val="101010"/>
                    </w:rPr>
                    <w:t xml:space="preserve"> a que postulen candidatos.</w:t>
                  </w:r>
                </w:p>
                <w:p w14:paraId="6A5664DC" w14:textId="77777777" w:rsidR="00800440" w:rsidRPr="00E11627" w:rsidRDefault="00800440" w:rsidP="00E11627">
                  <w:pPr>
                    <w:jc w:val="both"/>
                    <w:rPr>
                      <w:rFonts w:ascii="Verdana" w:hAnsi="Verdana"/>
                      <w:color w:val="101010"/>
                    </w:rPr>
                  </w:pPr>
                </w:p>
                <w:p w14:paraId="28D40288" w14:textId="47F80B62" w:rsidR="00800440" w:rsidRPr="00E11627" w:rsidRDefault="005E3E74" w:rsidP="00E11627">
                  <w:pPr>
                    <w:jc w:val="both"/>
                    <w:rPr>
                      <w:rFonts w:ascii="Verdana" w:hAnsi="Verdana"/>
                      <w:color w:val="101010"/>
                    </w:rPr>
                  </w:pPr>
                  <w:r w:rsidRPr="00E11627">
                    <w:rPr>
                      <w:rFonts w:ascii="Verdana" w:hAnsi="Verdana"/>
                      <w:color w:val="101010"/>
                    </w:rPr>
                    <w:lastRenderedPageBreak/>
                    <w:t>El IPSASB es un ente independiente de normalización que trabaja a favor del interés general estableciendo normas contables de alta calidad para uso de las entidades del sector público alrededor del mundo en la elaboración de informes financieros con fines generales.</w:t>
                  </w:r>
                </w:p>
                <w:p w14:paraId="261FA14C" w14:textId="77777777" w:rsidR="003E63D5" w:rsidRPr="00E11627" w:rsidRDefault="003E63D5" w:rsidP="00E11627">
                  <w:pPr>
                    <w:jc w:val="both"/>
                    <w:rPr>
                      <w:rFonts w:ascii="Verdana" w:hAnsi="Verdana"/>
                    </w:rPr>
                  </w:pPr>
                </w:p>
                <w:p w14:paraId="3590E102" w14:textId="7F637023" w:rsidR="003E63D5" w:rsidRPr="00E11627" w:rsidRDefault="005E3E74" w:rsidP="00E11627">
                  <w:pPr>
                    <w:jc w:val="both"/>
                    <w:rPr>
                      <w:rFonts w:ascii="Verdana" w:hAnsi="Verdana"/>
                    </w:rPr>
                  </w:pPr>
                  <w:r w:rsidRPr="00E11627">
                    <w:rPr>
                      <w:rFonts w:ascii="Verdana" w:hAnsi="Verdana"/>
                      <w:color w:val="101010"/>
                    </w:rPr>
                    <w:t xml:space="preserve">La fecha límite para enviar solicitudes es el 31 de enero de 2020. Por favor consulte </w:t>
                  </w:r>
                  <w:r w:rsidRPr="00E11627">
                    <w:rPr>
                      <w:rFonts w:ascii="Verdana" w:hAnsi="Verdana"/>
                      <w:i/>
                      <w:iCs/>
                      <w:color w:val="101010"/>
                    </w:rPr>
                    <w:t xml:space="preserve">la </w:t>
                  </w:r>
                  <w:hyperlink r:id="rId7" w:tgtFrame="_blank" w:history="1">
                    <w:r w:rsidRPr="00E11627">
                      <w:rPr>
                        <w:rFonts w:ascii="Verdana" w:hAnsi="Verdana"/>
                        <w:i/>
                        <w:iCs/>
                        <w:color w:val="E25936"/>
                      </w:rPr>
                      <w:t>Convocatoria a Postulaciones</w:t>
                    </w:r>
                  </w:hyperlink>
                  <w:r w:rsidRPr="00E11627">
                    <w:rPr>
                      <w:rFonts w:ascii="Verdana" w:hAnsi="Verdana"/>
                      <w:color w:val="101010"/>
                    </w:rPr>
                    <w:t xml:space="preserve"> para obtener más información sobre </w:t>
                  </w:r>
                  <w:r w:rsidR="009D2973">
                    <w:rPr>
                      <w:rFonts w:ascii="Verdana" w:hAnsi="Verdana"/>
                      <w:color w:val="101010"/>
                    </w:rPr>
                    <w:t>el modo</w:t>
                  </w:r>
                  <w:r w:rsidRPr="00E11627">
                    <w:rPr>
                      <w:rFonts w:ascii="Verdana" w:hAnsi="Verdana"/>
                      <w:color w:val="101010"/>
                    </w:rPr>
                    <w:t xml:space="preserve"> de enviar una solicitud.</w:t>
                  </w:r>
                </w:p>
              </w:tc>
              <w:tc>
                <w:tcPr>
                  <w:tcW w:w="0" w:type="auto"/>
                  <w:vAlign w:val="center"/>
                  <w:hideMark/>
                </w:tcPr>
                <w:p w14:paraId="1214D568" w14:textId="7D0796F1" w:rsidR="003E63D5" w:rsidRPr="00E11627" w:rsidRDefault="003E63D5" w:rsidP="00E11627">
                  <w:pPr>
                    <w:jc w:val="both"/>
                    <w:rPr>
                      <w:rFonts w:ascii="Verdana" w:hAnsi="Verdana"/>
                    </w:rPr>
                  </w:pPr>
                  <w:r w:rsidRPr="00E11627">
                    <w:rPr>
                      <w:rFonts w:ascii="Verdana" w:hAnsi="Verdana"/>
                      <w:noProof/>
                    </w:rPr>
                    <w:lastRenderedPageBreak/>
                    <w:drawing>
                      <wp:inline distT="0" distB="0" distL="0" distR="0" wp14:anchorId="365EFDAF" wp14:editId="792AE106">
                        <wp:extent cx="190500" cy="1428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bl>
          <w:p w14:paraId="28701963" w14:textId="77777777" w:rsidR="003E63D5" w:rsidRPr="00E11627" w:rsidRDefault="003E63D5" w:rsidP="00E11627">
            <w:pPr>
              <w:jc w:val="both"/>
              <w:rPr>
                <w:rFonts w:ascii="Verdana" w:eastAsia="Times New Roman" w:hAnsi="Verdana" w:cs="Times New Roman"/>
                <w:lang w:val="en-US"/>
              </w:rPr>
            </w:pPr>
          </w:p>
        </w:tc>
        <w:tc>
          <w:tcPr>
            <w:tcW w:w="0" w:type="auto"/>
            <w:vMerge/>
            <w:shd w:val="clear" w:color="auto" w:fill="F2F2F2"/>
            <w:vAlign w:val="center"/>
            <w:hideMark/>
          </w:tcPr>
          <w:p w14:paraId="6F8ABF1B" w14:textId="77777777" w:rsidR="003E63D5" w:rsidRPr="005E3E74" w:rsidRDefault="003E63D5">
            <w:pPr>
              <w:rPr>
                <w:lang w:val="en-US"/>
              </w:rPr>
            </w:pPr>
          </w:p>
        </w:tc>
      </w:tr>
    </w:tbl>
    <w:p w14:paraId="3601FF5E" w14:textId="10A68FAD" w:rsidR="00AC1A43" w:rsidRPr="008F4713" w:rsidRDefault="00AC1A43" w:rsidP="00EC1C1C">
      <w:bookmarkStart w:id="0" w:name="_GoBack"/>
      <w:bookmarkEnd w:id="0"/>
    </w:p>
    <w:sectPr w:rsidR="00AC1A43" w:rsidRPr="008F47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009DC"/>
    <w:multiLevelType w:val="multilevel"/>
    <w:tmpl w:val="C256D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B52F4D"/>
    <w:multiLevelType w:val="multilevel"/>
    <w:tmpl w:val="C1881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D5"/>
    <w:rsid w:val="00050529"/>
    <w:rsid w:val="00103B82"/>
    <w:rsid w:val="00226D91"/>
    <w:rsid w:val="003E63D5"/>
    <w:rsid w:val="005E3E74"/>
    <w:rsid w:val="007357D2"/>
    <w:rsid w:val="0073738E"/>
    <w:rsid w:val="00800440"/>
    <w:rsid w:val="00814BB9"/>
    <w:rsid w:val="008F4713"/>
    <w:rsid w:val="009577D2"/>
    <w:rsid w:val="009D2973"/>
    <w:rsid w:val="00AB720C"/>
    <w:rsid w:val="00AC1A43"/>
    <w:rsid w:val="00AC3590"/>
    <w:rsid w:val="00B9299D"/>
    <w:rsid w:val="00BE2944"/>
    <w:rsid w:val="00DF138A"/>
    <w:rsid w:val="00E11627"/>
    <w:rsid w:val="00EC1C1C"/>
    <w:rsid w:val="00ED01C5"/>
    <w:rsid w:val="00F56A35"/>
    <w:rsid w:val="00F75B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C1446"/>
  <w15:chartTrackingRefBased/>
  <w15:docId w15:val="{588A82D2-08C1-436F-A772-C76034FD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3D5"/>
    <w:pPr>
      <w:spacing w:after="0" w:line="240" w:lineRule="auto"/>
    </w:pPr>
    <w:rPr>
      <w:rFonts w:ascii="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63D5"/>
    <w:rPr>
      <w:strike w:val="0"/>
      <w:dstrike w:val="0"/>
      <w:color w:val="E25936"/>
      <w:u w:val="none"/>
      <w:effect w:val="none"/>
    </w:rPr>
  </w:style>
  <w:style w:type="paragraph" w:styleId="NormalWeb">
    <w:name w:val="Normal (Web)"/>
    <w:basedOn w:val="Normal"/>
    <w:uiPriority w:val="99"/>
    <w:semiHidden/>
    <w:unhideWhenUsed/>
    <w:rsid w:val="003E63D5"/>
    <w:pPr>
      <w:spacing w:before="100" w:beforeAutospacing="1" w:after="100" w:afterAutospacing="1"/>
    </w:pPr>
  </w:style>
  <w:style w:type="character" w:styleId="Textoennegrita">
    <w:name w:val="Strong"/>
    <w:basedOn w:val="Fuentedeprrafopredeter"/>
    <w:uiPriority w:val="22"/>
    <w:qFormat/>
    <w:rsid w:val="003E63D5"/>
    <w:rPr>
      <w:b/>
      <w:bCs/>
    </w:rPr>
  </w:style>
  <w:style w:type="character" w:styleId="Mencinsinresolver">
    <w:name w:val="Unresolved Mention"/>
    <w:basedOn w:val="Fuentedeprrafopredeter"/>
    <w:uiPriority w:val="99"/>
    <w:semiHidden/>
    <w:unhideWhenUsed/>
    <w:rsid w:val="00050529"/>
    <w:rPr>
      <w:color w:val="605E5C"/>
      <w:shd w:val="clear" w:color="auto" w:fill="E1DFDD"/>
    </w:rPr>
  </w:style>
  <w:style w:type="character" w:styleId="Hipervnculovisitado">
    <w:name w:val="FollowedHyperlink"/>
    <w:basedOn w:val="Fuentedeprrafopredeter"/>
    <w:uiPriority w:val="99"/>
    <w:semiHidden/>
    <w:unhideWhenUsed/>
    <w:rsid w:val="00800440"/>
    <w:rPr>
      <w:color w:val="954F72" w:themeColor="followedHyperlink"/>
      <w:u w:val="single"/>
    </w:rPr>
  </w:style>
  <w:style w:type="table" w:styleId="Tablaconcuadrcula">
    <w:name w:val="Table Grid"/>
    <w:basedOn w:val="Tablanormal"/>
    <w:uiPriority w:val="39"/>
    <w:rsid w:val="00B9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357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57D2"/>
    <w:rPr>
      <w:rFonts w:ascii="Segoe U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4150">
      <w:bodyDiv w:val="1"/>
      <w:marLeft w:val="0"/>
      <w:marRight w:val="0"/>
      <w:marTop w:val="0"/>
      <w:marBottom w:val="0"/>
      <w:divBdr>
        <w:top w:val="none" w:sz="0" w:space="0" w:color="auto"/>
        <w:left w:val="none" w:sz="0" w:space="0" w:color="auto"/>
        <w:bottom w:val="none" w:sz="0" w:space="0" w:color="auto"/>
        <w:right w:val="none" w:sz="0" w:space="0" w:color="auto"/>
      </w:divBdr>
    </w:div>
    <w:div w:id="16265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fac.us7.list-manage.com/track/click?u=9e7d9671563ff754a328b2833&amp;id=d9506a6fd1&amp;e=6e89a1b6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CASTILLO</dc:creator>
  <cp:keywords/>
  <dc:description/>
  <cp:lastModifiedBy>Erika Gomez Lopez</cp:lastModifiedBy>
  <cp:revision>2</cp:revision>
  <dcterms:created xsi:type="dcterms:W3CDTF">2019-11-29T16:29:00Z</dcterms:created>
  <dcterms:modified xsi:type="dcterms:W3CDTF">2019-11-29T16:29:00Z</dcterms:modified>
</cp:coreProperties>
</file>