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FC9D4" w14:textId="77777777" w:rsidR="000F733B" w:rsidRDefault="000F733B" w:rsidP="000F733B">
      <w:pPr>
        <w:pStyle w:val="Default"/>
        <w:rPr>
          <w:rFonts w:ascii="Verdana" w:hAnsi="Verdana" w:cstheme="minorHAnsi"/>
          <w:b/>
          <w:bCs/>
          <w:sz w:val="22"/>
          <w:szCs w:val="22"/>
        </w:rPr>
      </w:pPr>
      <w:r>
        <w:rPr>
          <w:rFonts w:ascii="Verdana" w:hAnsi="Verdana" w:cstheme="minorHAnsi"/>
          <w:b/>
          <w:bCs/>
          <w:sz w:val="22"/>
          <w:szCs w:val="22"/>
        </w:rPr>
        <w:t>Modelo de Opinión con salvedades</w:t>
      </w:r>
    </w:p>
    <w:p w14:paraId="07DE781A" w14:textId="77777777" w:rsidR="000F733B" w:rsidRDefault="000F733B" w:rsidP="000F733B">
      <w:pPr>
        <w:pStyle w:val="Default"/>
        <w:rPr>
          <w:rFonts w:ascii="Verdana" w:hAnsi="Verdana" w:cstheme="minorHAnsi"/>
          <w:b/>
          <w:bCs/>
          <w:sz w:val="22"/>
          <w:szCs w:val="22"/>
        </w:rPr>
      </w:pPr>
    </w:p>
    <w:p w14:paraId="7CB225C1" w14:textId="77777777" w:rsidR="000F733B" w:rsidRDefault="000F733B" w:rsidP="000F733B">
      <w:pPr>
        <w:pStyle w:val="Default"/>
        <w:rPr>
          <w:rFonts w:ascii="Verdana" w:hAnsi="Verdana" w:cstheme="minorHAnsi"/>
          <w:sz w:val="22"/>
          <w:szCs w:val="22"/>
        </w:rPr>
      </w:pPr>
      <w:r>
        <w:rPr>
          <w:rFonts w:ascii="Verdana" w:hAnsi="Verdana" w:cstheme="minorHAnsi"/>
          <w:b/>
          <w:bCs/>
          <w:sz w:val="22"/>
          <w:szCs w:val="22"/>
        </w:rPr>
        <w:t>DICTAMEN DEL REVISOR FISCAL</w:t>
      </w:r>
    </w:p>
    <w:p w14:paraId="595F52AD" w14:textId="77777777" w:rsidR="000F733B" w:rsidRDefault="000F733B" w:rsidP="000F733B">
      <w:pPr>
        <w:pStyle w:val="Default"/>
        <w:rPr>
          <w:rFonts w:ascii="Verdana" w:hAnsi="Verdana" w:cstheme="minorHAnsi"/>
          <w:sz w:val="22"/>
          <w:szCs w:val="22"/>
        </w:rPr>
      </w:pPr>
    </w:p>
    <w:p w14:paraId="38F3908A" w14:textId="77777777" w:rsidR="000F733B" w:rsidRDefault="000F733B" w:rsidP="000F733B">
      <w:pPr>
        <w:pStyle w:val="Default"/>
        <w:rPr>
          <w:rFonts w:ascii="Verdana" w:hAnsi="Verdana" w:cstheme="minorHAnsi"/>
          <w:sz w:val="22"/>
          <w:szCs w:val="22"/>
        </w:rPr>
      </w:pPr>
      <w:r>
        <w:rPr>
          <w:rFonts w:ascii="Verdana" w:hAnsi="Verdana" w:cstheme="minorHAnsi"/>
          <w:i/>
          <w:iCs/>
          <w:sz w:val="22"/>
          <w:szCs w:val="22"/>
        </w:rPr>
        <w:t>A los miembros de la Asamblea General de Accionistas</w:t>
      </w:r>
    </w:p>
    <w:p w14:paraId="72FCC1DD" w14:textId="77777777" w:rsidR="000F733B" w:rsidRDefault="000F733B" w:rsidP="000F733B">
      <w:pPr>
        <w:pStyle w:val="Default"/>
        <w:rPr>
          <w:rFonts w:ascii="Verdana" w:hAnsi="Verdana" w:cstheme="minorHAnsi"/>
          <w:sz w:val="22"/>
          <w:szCs w:val="22"/>
        </w:rPr>
      </w:pPr>
      <w:r>
        <w:rPr>
          <w:rFonts w:ascii="Verdana" w:hAnsi="Verdana" w:cstheme="minorHAnsi"/>
          <w:sz w:val="22"/>
          <w:szCs w:val="22"/>
        </w:rPr>
        <w:t xml:space="preserve">Compañía </w:t>
      </w:r>
      <w:r>
        <w:rPr>
          <w:rFonts w:ascii="Verdana" w:hAnsi="Verdana" w:cstheme="minorHAnsi"/>
          <w:color w:val="FF0000"/>
          <w:sz w:val="22"/>
          <w:szCs w:val="22"/>
        </w:rPr>
        <w:t>Alfa S. A.</w:t>
      </w:r>
    </w:p>
    <w:p w14:paraId="65A64347" w14:textId="77777777" w:rsidR="000F733B" w:rsidRDefault="000F733B" w:rsidP="000F733B">
      <w:pPr>
        <w:pStyle w:val="Default"/>
        <w:rPr>
          <w:rFonts w:ascii="Verdana" w:hAnsi="Verdana" w:cstheme="minorHAnsi"/>
          <w:b/>
          <w:bCs/>
          <w:sz w:val="22"/>
          <w:szCs w:val="22"/>
        </w:rPr>
      </w:pPr>
    </w:p>
    <w:p w14:paraId="366FEEB5" w14:textId="77777777" w:rsidR="000F733B" w:rsidRDefault="000F733B" w:rsidP="000F733B">
      <w:pPr>
        <w:pStyle w:val="Default"/>
        <w:rPr>
          <w:rFonts w:ascii="Verdana" w:hAnsi="Verdana" w:cstheme="minorHAnsi"/>
          <w:b/>
          <w:bCs/>
          <w:sz w:val="22"/>
          <w:szCs w:val="22"/>
        </w:rPr>
      </w:pPr>
      <w:r>
        <w:rPr>
          <w:rFonts w:ascii="Verdana" w:hAnsi="Verdana" w:cstheme="minorHAnsi"/>
          <w:b/>
          <w:bCs/>
          <w:sz w:val="22"/>
          <w:szCs w:val="22"/>
        </w:rPr>
        <w:t>Opinión con salvedades</w:t>
      </w:r>
    </w:p>
    <w:p w14:paraId="7F256F84" w14:textId="77777777" w:rsidR="000F733B" w:rsidRDefault="000F733B" w:rsidP="000F733B">
      <w:pPr>
        <w:pStyle w:val="Default"/>
        <w:jc w:val="center"/>
        <w:rPr>
          <w:rFonts w:ascii="Verdana" w:hAnsi="Verdana" w:cstheme="minorHAnsi"/>
          <w:sz w:val="22"/>
          <w:szCs w:val="22"/>
        </w:rPr>
      </w:pPr>
    </w:p>
    <w:p w14:paraId="5A340C05" w14:textId="57142578"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He auditado los estados financieros </w:t>
      </w:r>
      <w:r>
        <w:rPr>
          <w:rFonts w:ascii="Verdana" w:hAnsi="Verdana" w:cstheme="minorHAnsi"/>
          <w:iCs/>
          <w:color w:val="FF0000"/>
          <w:sz w:val="22"/>
          <w:szCs w:val="22"/>
        </w:rPr>
        <w:t>separados</w:t>
      </w:r>
      <w:r>
        <w:rPr>
          <w:rFonts w:ascii="Verdana" w:hAnsi="Verdana" w:cstheme="minorHAnsi"/>
          <w:color w:val="FF0000"/>
          <w:sz w:val="22"/>
          <w:szCs w:val="22"/>
        </w:rPr>
        <w:t xml:space="preserve"> </w:t>
      </w:r>
      <w:r>
        <w:rPr>
          <w:rFonts w:ascii="Verdana" w:hAnsi="Verdana" w:cstheme="minorHAnsi"/>
          <w:sz w:val="22"/>
          <w:szCs w:val="22"/>
        </w:rPr>
        <w:t xml:space="preserve">de la Compañía </w:t>
      </w:r>
      <w:r>
        <w:rPr>
          <w:rFonts w:ascii="Verdana" w:hAnsi="Verdana" w:cstheme="minorHAnsi"/>
          <w:color w:val="FF0000"/>
          <w:sz w:val="22"/>
          <w:szCs w:val="22"/>
        </w:rPr>
        <w:t xml:space="preserve">Alfa S. A. </w:t>
      </w:r>
      <w:r>
        <w:rPr>
          <w:rFonts w:ascii="Verdana" w:hAnsi="Verdana" w:cstheme="minorHAnsi"/>
          <w:sz w:val="22"/>
          <w:szCs w:val="22"/>
        </w:rPr>
        <w:t xml:space="preserve">(en adelante la Entidad), que comprenden el estado de situación financiera al </w:t>
      </w:r>
      <w:r>
        <w:rPr>
          <w:rFonts w:ascii="Verdana" w:hAnsi="Verdana" w:cstheme="minorHAnsi"/>
          <w:color w:val="FF0000"/>
          <w:sz w:val="22"/>
          <w:szCs w:val="22"/>
        </w:rPr>
        <w:t>31 de diciembre de 20</w:t>
      </w:r>
      <w:r w:rsidR="00D63EA5">
        <w:rPr>
          <w:rFonts w:ascii="Verdana" w:hAnsi="Verdana" w:cstheme="minorHAnsi"/>
          <w:color w:val="FF0000"/>
          <w:sz w:val="22"/>
          <w:szCs w:val="22"/>
        </w:rPr>
        <w:t>XX</w:t>
      </w:r>
      <w:r>
        <w:rPr>
          <w:rFonts w:ascii="Verdana" w:hAnsi="Verdana" w:cstheme="minorHAnsi"/>
          <w:sz w:val="22"/>
          <w:szCs w:val="22"/>
        </w:rPr>
        <w:t xml:space="preserve">,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19BDF968" w14:textId="77777777" w:rsidR="000F733B" w:rsidRDefault="000F733B" w:rsidP="000F733B">
      <w:pPr>
        <w:pStyle w:val="NormalWeb"/>
        <w:jc w:val="both"/>
        <w:rPr>
          <w:rFonts w:ascii="Verdana" w:hAnsi="Verdana" w:cstheme="minorHAnsi"/>
          <w:sz w:val="22"/>
          <w:szCs w:val="22"/>
          <w:lang w:val="es-ES"/>
        </w:rPr>
      </w:pPr>
      <w:r>
        <w:rPr>
          <w:rFonts w:ascii="Verdana" w:hAnsi="Verdana" w:cstheme="minorHAnsi"/>
          <w:sz w:val="22"/>
          <w:szCs w:val="22"/>
          <w:lang w:val="es-ES"/>
        </w:rPr>
        <w:t>En mi opinión, excepto por los efectos de las cuestiones descritas en la sección Fundamentos de la opinión con salvedades, los estados financieros adjuntos de la Entidad han sido preparados, en todos los aspectos materiales, de conformidad con el anexo N° 1 del Decreto 2420 de 2015 y sus modificatorios, que incorporan las Normas Internacionales de Información Financiera NIIF.</w:t>
      </w:r>
    </w:p>
    <w:p w14:paraId="2815B93D" w14:textId="77777777" w:rsidR="000F733B" w:rsidRDefault="000F733B" w:rsidP="000F733B">
      <w:pPr>
        <w:pStyle w:val="Default"/>
        <w:jc w:val="both"/>
        <w:rPr>
          <w:rFonts w:ascii="Verdana" w:hAnsi="Verdana" w:cstheme="minorHAnsi"/>
          <w:b/>
          <w:bCs/>
          <w:sz w:val="22"/>
          <w:szCs w:val="22"/>
        </w:rPr>
      </w:pPr>
      <w:r>
        <w:rPr>
          <w:rFonts w:ascii="Verdana" w:hAnsi="Verdana" w:cstheme="minorHAnsi"/>
          <w:b/>
          <w:bCs/>
          <w:sz w:val="22"/>
          <w:szCs w:val="22"/>
        </w:rPr>
        <w:t>Fundamento de la opinión con salvedades</w:t>
      </w:r>
    </w:p>
    <w:p w14:paraId="64702450" w14:textId="77777777" w:rsidR="000F733B" w:rsidRDefault="000F733B" w:rsidP="000F733B">
      <w:pPr>
        <w:pStyle w:val="Default"/>
        <w:jc w:val="both"/>
        <w:rPr>
          <w:rFonts w:ascii="Verdana" w:hAnsi="Verdana" w:cstheme="minorHAnsi"/>
          <w:b/>
          <w:bCs/>
          <w:sz w:val="22"/>
          <w:szCs w:val="22"/>
        </w:rPr>
      </w:pPr>
    </w:p>
    <w:p w14:paraId="3D2DF205" w14:textId="17D3CF15" w:rsidR="000F733B" w:rsidRDefault="000F733B" w:rsidP="000F733B">
      <w:pPr>
        <w:pStyle w:val="Default"/>
        <w:numPr>
          <w:ilvl w:val="0"/>
          <w:numId w:val="1"/>
        </w:numPr>
        <w:jc w:val="both"/>
        <w:rPr>
          <w:rFonts w:ascii="Verdana" w:hAnsi="Verdana" w:cstheme="minorHAnsi"/>
          <w:sz w:val="22"/>
          <w:szCs w:val="22"/>
        </w:rPr>
      </w:pPr>
      <w:r>
        <w:rPr>
          <w:rFonts w:ascii="Verdana" w:hAnsi="Verdana" w:cstheme="minorHAnsi"/>
          <w:sz w:val="22"/>
          <w:szCs w:val="22"/>
        </w:rPr>
        <w:t xml:space="preserve">La Gerencia de la </w:t>
      </w:r>
      <w:r w:rsidR="00D63EA5">
        <w:rPr>
          <w:rFonts w:ascii="Verdana" w:hAnsi="Verdana" w:cstheme="minorHAnsi"/>
          <w:sz w:val="22"/>
          <w:szCs w:val="22"/>
        </w:rPr>
        <w:t>Compañía</w:t>
      </w:r>
      <w:r>
        <w:rPr>
          <w:rFonts w:ascii="Verdana" w:hAnsi="Verdana" w:cstheme="minorHAnsi"/>
          <w:sz w:val="22"/>
          <w:szCs w:val="22"/>
        </w:rPr>
        <w:t xml:space="preserve"> no ha registrado las provisiones por concepto de demandas laborales, lo que supone un incumplimiento al Decreto 2420 de 2015 y sus modificatorios, que incorpora las Normas Internacionales de </w:t>
      </w:r>
      <w:r w:rsidR="00D63EA5">
        <w:rPr>
          <w:rFonts w:ascii="Verdana" w:hAnsi="Verdana" w:cstheme="minorHAnsi"/>
          <w:sz w:val="22"/>
          <w:szCs w:val="22"/>
        </w:rPr>
        <w:t>Información</w:t>
      </w:r>
      <w:r>
        <w:rPr>
          <w:rFonts w:ascii="Verdana" w:hAnsi="Verdana" w:cstheme="minorHAnsi"/>
          <w:sz w:val="22"/>
          <w:szCs w:val="22"/>
        </w:rPr>
        <w:t xml:space="preserve"> Financiera, las cuales requieren que las provisiones se registren por la mejor </w:t>
      </w:r>
      <w:r w:rsidR="00D63EA5">
        <w:rPr>
          <w:rFonts w:ascii="Verdana" w:hAnsi="Verdana" w:cstheme="minorHAnsi"/>
          <w:sz w:val="22"/>
          <w:szCs w:val="22"/>
        </w:rPr>
        <w:t>estimación</w:t>
      </w:r>
      <w:r>
        <w:rPr>
          <w:rFonts w:ascii="Verdana" w:hAnsi="Verdana" w:cstheme="minorHAnsi"/>
          <w:sz w:val="22"/>
          <w:szCs w:val="22"/>
        </w:rPr>
        <w:t xml:space="preserve">. En consecuencia, las provisiones se encuentran infravaloradas (subvaloradas) en cuantía aproximada de $ 240 millones y el impuesto diferido de la </w:t>
      </w:r>
      <w:r w:rsidR="00D63EA5">
        <w:rPr>
          <w:rFonts w:ascii="Verdana" w:hAnsi="Verdana" w:cstheme="minorHAnsi"/>
          <w:sz w:val="22"/>
          <w:szCs w:val="22"/>
        </w:rPr>
        <w:t>Compañía</w:t>
      </w:r>
      <w:r>
        <w:rPr>
          <w:rFonts w:ascii="Verdana" w:hAnsi="Verdana" w:cstheme="minorHAnsi"/>
          <w:sz w:val="22"/>
          <w:szCs w:val="22"/>
        </w:rPr>
        <w:t xml:space="preserve"> subvalorado en aproximadamente $ 80 millones [modelo de salvedad por estimación contable]. </w:t>
      </w:r>
    </w:p>
    <w:p w14:paraId="26AA854E" w14:textId="19684BC0" w:rsidR="000F733B" w:rsidRDefault="000F733B" w:rsidP="000F733B">
      <w:pPr>
        <w:pStyle w:val="Default"/>
        <w:numPr>
          <w:ilvl w:val="0"/>
          <w:numId w:val="1"/>
        </w:numPr>
        <w:jc w:val="both"/>
        <w:rPr>
          <w:rFonts w:ascii="Verdana" w:hAnsi="Verdana" w:cstheme="minorHAnsi"/>
          <w:sz w:val="22"/>
          <w:szCs w:val="22"/>
        </w:rPr>
      </w:pPr>
      <w:r>
        <w:rPr>
          <w:rFonts w:ascii="Verdana" w:hAnsi="Verdana" w:cstheme="minorHAnsi"/>
          <w:sz w:val="22"/>
          <w:szCs w:val="22"/>
        </w:rPr>
        <w:t xml:space="preserve">La Gerencia de la </w:t>
      </w:r>
      <w:r w:rsidR="00D63EA5">
        <w:rPr>
          <w:rFonts w:ascii="Verdana" w:hAnsi="Verdana" w:cstheme="minorHAnsi"/>
          <w:sz w:val="22"/>
          <w:szCs w:val="22"/>
        </w:rPr>
        <w:t>Compañía</w:t>
      </w:r>
      <w:r>
        <w:rPr>
          <w:rFonts w:ascii="Verdana" w:hAnsi="Verdana" w:cstheme="minorHAnsi"/>
          <w:sz w:val="22"/>
          <w:szCs w:val="22"/>
        </w:rPr>
        <w:t xml:space="preserve"> no ha registrado el deterioro por concepto de cuentas por cobrar, lo que supone un incumplimiento al Decreto 2420 de 2015 y sus modificatorios, que incorpora las Normas Internacionales de </w:t>
      </w:r>
      <w:r w:rsidR="00D63EA5">
        <w:rPr>
          <w:rFonts w:ascii="Verdana" w:hAnsi="Verdana" w:cstheme="minorHAnsi"/>
          <w:sz w:val="22"/>
          <w:szCs w:val="22"/>
        </w:rPr>
        <w:t>Información</w:t>
      </w:r>
      <w:r>
        <w:rPr>
          <w:rFonts w:ascii="Verdana" w:hAnsi="Verdana" w:cstheme="minorHAnsi"/>
          <w:sz w:val="22"/>
          <w:szCs w:val="22"/>
        </w:rPr>
        <w:t xml:space="preserve"> Financiera NIIF, las cuales requieren que los instrumentos financieros se deterioren por incumplimiento en el pago, relacionado con riesgo de </w:t>
      </w:r>
      <w:r w:rsidR="00D63EA5">
        <w:rPr>
          <w:rFonts w:ascii="Verdana" w:hAnsi="Verdana" w:cstheme="minorHAnsi"/>
          <w:sz w:val="22"/>
          <w:szCs w:val="22"/>
        </w:rPr>
        <w:t>crédito</w:t>
      </w:r>
      <w:r>
        <w:rPr>
          <w:rFonts w:ascii="Verdana" w:hAnsi="Verdana" w:cstheme="minorHAnsi"/>
          <w:sz w:val="22"/>
          <w:szCs w:val="22"/>
        </w:rPr>
        <w:t xml:space="preserve">, por el valor presente del valor recuperable. En consecuencia, el deterioro se encuentra infravalorado (subvalorado) en cuantía aproximada de $ 1200 millones y el estado de resultados por concepto de impuesto diferido y gastos de la </w:t>
      </w:r>
      <w:r w:rsidR="00D63EA5">
        <w:rPr>
          <w:rFonts w:ascii="Verdana" w:hAnsi="Verdana" w:cstheme="minorHAnsi"/>
          <w:sz w:val="22"/>
          <w:szCs w:val="22"/>
        </w:rPr>
        <w:t>Compañía</w:t>
      </w:r>
      <w:r>
        <w:rPr>
          <w:rFonts w:ascii="Verdana" w:hAnsi="Verdana" w:cstheme="minorHAnsi"/>
          <w:sz w:val="22"/>
          <w:szCs w:val="22"/>
        </w:rPr>
        <w:t xml:space="preserve"> subvalorado en aproximadamente $ 408 millones y $ 1200 millones, respectivamente. [Modelo de salvedad por estimación contable]. </w:t>
      </w:r>
    </w:p>
    <w:p w14:paraId="76C8D2DB" w14:textId="27EEC8E4" w:rsidR="000F733B" w:rsidRDefault="000F733B" w:rsidP="000F733B">
      <w:pPr>
        <w:pStyle w:val="Default"/>
        <w:numPr>
          <w:ilvl w:val="0"/>
          <w:numId w:val="1"/>
        </w:numPr>
        <w:jc w:val="both"/>
        <w:rPr>
          <w:rFonts w:ascii="Verdana" w:hAnsi="Verdana" w:cstheme="minorHAnsi"/>
          <w:sz w:val="22"/>
          <w:szCs w:val="22"/>
        </w:rPr>
      </w:pPr>
      <w:r>
        <w:rPr>
          <w:rFonts w:ascii="Verdana" w:hAnsi="Verdana" w:cstheme="minorHAnsi"/>
          <w:sz w:val="22"/>
          <w:szCs w:val="22"/>
        </w:rPr>
        <w:t xml:space="preserve">La Gerencia de la </w:t>
      </w:r>
      <w:r w:rsidR="00D63EA5">
        <w:rPr>
          <w:rFonts w:ascii="Verdana" w:hAnsi="Verdana" w:cstheme="minorHAnsi"/>
          <w:sz w:val="22"/>
          <w:szCs w:val="22"/>
        </w:rPr>
        <w:t>Compañía</w:t>
      </w:r>
      <w:r>
        <w:rPr>
          <w:rFonts w:ascii="Verdana" w:hAnsi="Verdana" w:cstheme="minorHAnsi"/>
          <w:sz w:val="22"/>
          <w:szCs w:val="22"/>
        </w:rPr>
        <w:t xml:space="preserve"> no ha registrado el deterioro por concepto de propiedad, planta y equipo, lo que supone un incumplimiento al Decreto 2420 de 2015 y sus modificatorios, que incorpora las Normas Internacionales de </w:t>
      </w:r>
      <w:r w:rsidR="00D63EA5">
        <w:rPr>
          <w:rFonts w:ascii="Verdana" w:hAnsi="Verdana" w:cstheme="minorHAnsi"/>
          <w:sz w:val="22"/>
          <w:szCs w:val="22"/>
        </w:rPr>
        <w:t>Información</w:t>
      </w:r>
      <w:r>
        <w:rPr>
          <w:rFonts w:ascii="Verdana" w:hAnsi="Verdana" w:cstheme="minorHAnsi"/>
          <w:sz w:val="22"/>
          <w:szCs w:val="22"/>
        </w:rPr>
        <w:t xml:space="preserve"> Financiera NIIF, las cuales requieren que </w:t>
      </w:r>
      <w:r>
        <w:rPr>
          <w:rFonts w:ascii="Verdana" w:hAnsi="Verdana" w:cstheme="minorHAnsi"/>
          <w:sz w:val="22"/>
          <w:szCs w:val="22"/>
        </w:rPr>
        <w:lastRenderedPageBreak/>
        <w:t xml:space="preserve">la propiedad, planta y equipo se midan posteriormente al costo menos la </w:t>
      </w:r>
      <w:r w:rsidR="00D63EA5">
        <w:rPr>
          <w:rFonts w:ascii="Verdana" w:hAnsi="Verdana" w:cstheme="minorHAnsi"/>
          <w:sz w:val="22"/>
          <w:szCs w:val="22"/>
        </w:rPr>
        <w:t>depreciación</w:t>
      </w:r>
      <w:r>
        <w:rPr>
          <w:rFonts w:ascii="Verdana" w:hAnsi="Verdana" w:cstheme="minorHAnsi"/>
          <w:sz w:val="22"/>
          <w:szCs w:val="22"/>
        </w:rPr>
        <w:t xml:space="preserve"> y cualesquier </w:t>
      </w:r>
      <w:r w:rsidR="00D63EA5">
        <w:rPr>
          <w:rFonts w:ascii="Verdana" w:hAnsi="Verdana" w:cstheme="minorHAnsi"/>
          <w:sz w:val="22"/>
          <w:szCs w:val="22"/>
        </w:rPr>
        <w:t>pérdidas</w:t>
      </w:r>
      <w:r>
        <w:rPr>
          <w:rFonts w:ascii="Verdana" w:hAnsi="Verdana" w:cstheme="minorHAnsi"/>
          <w:sz w:val="22"/>
          <w:szCs w:val="22"/>
        </w:rPr>
        <w:t xml:space="preserve"> por deterioro. En consecuencia, el deterioro se encuentra infravalorado (subvalorado) en cuantía aproximada de $ 1800 millones y el estado de resultados por concepto de impuesto diferido y gastos de la </w:t>
      </w:r>
      <w:r w:rsidR="00D63EA5">
        <w:rPr>
          <w:rFonts w:ascii="Verdana" w:hAnsi="Verdana" w:cstheme="minorHAnsi"/>
          <w:sz w:val="22"/>
          <w:szCs w:val="22"/>
        </w:rPr>
        <w:t>Compañía</w:t>
      </w:r>
      <w:r>
        <w:rPr>
          <w:rFonts w:ascii="Verdana" w:hAnsi="Verdana" w:cstheme="minorHAnsi"/>
          <w:sz w:val="22"/>
          <w:szCs w:val="22"/>
        </w:rPr>
        <w:t xml:space="preserve"> subvalorado en aproximadamente $ 204 millones y $ 1800 millones, respectivamente. [Modelo de salvedad por incumplimiento de política contable].</w:t>
      </w:r>
    </w:p>
    <w:p w14:paraId="114E0D61" w14:textId="37FF56CA" w:rsidR="000F733B" w:rsidRDefault="000F733B" w:rsidP="000F733B">
      <w:pPr>
        <w:pStyle w:val="Default"/>
        <w:numPr>
          <w:ilvl w:val="0"/>
          <w:numId w:val="1"/>
        </w:numPr>
        <w:jc w:val="both"/>
        <w:rPr>
          <w:rFonts w:ascii="Verdana" w:hAnsi="Verdana" w:cstheme="minorHAnsi"/>
          <w:sz w:val="22"/>
          <w:szCs w:val="22"/>
        </w:rPr>
      </w:pPr>
      <w:r>
        <w:rPr>
          <w:rFonts w:ascii="Verdana" w:hAnsi="Verdana" w:cstheme="minorHAnsi"/>
          <w:sz w:val="22"/>
          <w:szCs w:val="22"/>
        </w:rPr>
        <w:t xml:space="preserve">Las existencias de la sociedad se reflejan en el estado de situación financiera por $ 350 millones, la Gerencia no </w:t>
      </w:r>
      <w:r w:rsidR="00D63EA5">
        <w:rPr>
          <w:rFonts w:ascii="Verdana" w:hAnsi="Verdana" w:cstheme="minorHAnsi"/>
          <w:sz w:val="22"/>
          <w:szCs w:val="22"/>
        </w:rPr>
        <w:t>permitió</w:t>
      </w:r>
      <w:r>
        <w:rPr>
          <w:rFonts w:ascii="Verdana" w:hAnsi="Verdana" w:cstheme="minorHAnsi"/>
          <w:sz w:val="22"/>
          <w:szCs w:val="22"/>
        </w:rPr>
        <w:t xml:space="preserve">́ la </w:t>
      </w:r>
      <w:r w:rsidR="00D63EA5">
        <w:rPr>
          <w:rFonts w:ascii="Verdana" w:hAnsi="Verdana" w:cstheme="minorHAnsi"/>
          <w:sz w:val="22"/>
          <w:szCs w:val="22"/>
        </w:rPr>
        <w:t>verificación</w:t>
      </w:r>
      <w:r>
        <w:rPr>
          <w:rFonts w:ascii="Verdana" w:hAnsi="Verdana" w:cstheme="minorHAnsi"/>
          <w:sz w:val="22"/>
          <w:szCs w:val="22"/>
        </w:rPr>
        <w:t xml:space="preserve"> de la existencia física de los inventarios y no me fue posible aplicar procedimientos alternativos para obtener evidencia de </w:t>
      </w:r>
      <w:r w:rsidR="00D63EA5">
        <w:rPr>
          <w:rFonts w:ascii="Verdana" w:hAnsi="Verdana" w:cstheme="minorHAnsi"/>
          <w:sz w:val="22"/>
          <w:szCs w:val="22"/>
        </w:rPr>
        <w:t>auditoria</w:t>
      </w:r>
      <w:r>
        <w:rPr>
          <w:rFonts w:ascii="Verdana" w:hAnsi="Verdana" w:cstheme="minorHAnsi"/>
          <w:sz w:val="22"/>
          <w:szCs w:val="22"/>
        </w:rPr>
        <w:t xml:space="preserve"> suficiente y adecuada, lo que genera una </w:t>
      </w:r>
      <w:r w:rsidR="00D63EA5">
        <w:rPr>
          <w:rFonts w:ascii="Verdana" w:hAnsi="Verdana" w:cstheme="minorHAnsi"/>
          <w:sz w:val="22"/>
          <w:szCs w:val="22"/>
        </w:rPr>
        <w:t>limitación</w:t>
      </w:r>
      <w:r>
        <w:rPr>
          <w:rFonts w:ascii="Verdana" w:hAnsi="Verdana" w:cstheme="minorHAnsi"/>
          <w:sz w:val="22"/>
          <w:szCs w:val="22"/>
        </w:rPr>
        <w:t xml:space="preserve"> en el alcance. </w:t>
      </w:r>
      <w:r w:rsidR="00D63EA5">
        <w:rPr>
          <w:rFonts w:ascii="Verdana" w:hAnsi="Verdana" w:cstheme="minorHAnsi"/>
          <w:sz w:val="22"/>
          <w:szCs w:val="22"/>
        </w:rPr>
        <w:t>Razón</w:t>
      </w:r>
      <w:r>
        <w:rPr>
          <w:rFonts w:ascii="Verdana" w:hAnsi="Verdana" w:cstheme="minorHAnsi"/>
          <w:sz w:val="22"/>
          <w:szCs w:val="22"/>
        </w:rPr>
        <w:t xml:space="preserve"> por la cual no me permite establecer la razonabilidad de dicha </w:t>
      </w:r>
      <w:r w:rsidR="00D63EA5">
        <w:rPr>
          <w:rFonts w:ascii="Verdana" w:hAnsi="Verdana" w:cstheme="minorHAnsi"/>
          <w:sz w:val="22"/>
          <w:szCs w:val="22"/>
        </w:rPr>
        <w:t>cuantía</w:t>
      </w:r>
      <w:r>
        <w:rPr>
          <w:rFonts w:ascii="Verdana" w:hAnsi="Verdana" w:cstheme="minorHAnsi"/>
          <w:sz w:val="22"/>
          <w:szCs w:val="22"/>
        </w:rPr>
        <w:t xml:space="preserve">. [Modelo de salvedad por limitación en el alcance]. </w:t>
      </w:r>
    </w:p>
    <w:p w14:paraId="7A63F26A" w14:textId="53DBABEE" w:rsidR="000F733B" w:rsidRDefault="000F733B" w:rsidP="000F733B">
      <w:pPr>
        <w:pStyle w:val="Default"/>
        <w:numPr>
          <w:ilvl w:val="0"/>
          <w:numId w:val="1"/>
        </w:numPr>
        <w:jc w:val="both"/>
        <w:rPr>
          <w:rFonts w:ascii="Verdana" w:hAnsi="Verdana" w:cstheme="minorHAnsi"/>
          <w:sz w:val="22"/>
          <w:szCs w:val="22"/>
        </w:rPr>
      </w:pPr>
      <w:r>
        <w:rPr>
          <w:rFonts w:ascii="Verdana" w:hAnsi="Verdana" w:cstheme="minorHAnsi"/>
          <w:sz w:val="22"/>
          <w:szCs w:val="22"/>
        </w:rPr>
        <w:t xml:space="preserve">La Gerencia de la Compañía no efectuó la revelación del pasivo contingente por concepto de demandas por la </w:t>
      </w:r>
      <w:r w:rsidR="00D63EA5">
        <w:rPr>
          <w:rFonts w:ascii="Verdana" w:hAnsi="Verdana" w:cstheme="minorHAnsi"/>
          <w:sz w:val="22"/>
          <w:szCs w:val="22"/>
        </w:rPr>
        <w:t>utilización</w:t>
      </w:r>
      <w:r>
        <w:rPr>
          <w:rFonts w:ascii="Verdana" w:hAnsi="Verdana" w:cstheme="minorHAnsi"/>
          <w:sz w:val="22"/>
          <w:szCs w:val="22"/>
        </w:rPr>
        <w:t xml:space="preserve"> de un logo </w:t>
      </w:r>
      <w:r w:rsidR="00D63EA5">
        <w:rPr>
          <w:rFonts w:ascii="Verdana" w:hAnsi="Verdana" w:cstheme="minorHAnsi"/>
          <w:sz w:val="22"/>
          <w:szCs w:val="22"/>
        </w:rPr>
        <w:t>símbolo</w:t>
      </w:r>
      <w:r>
        <w:rPr>
          <w:rFonts w:ascii="Verdana" w:hAnsi="Verdana" w:cstheme="minorHAnsi"/>
          <w:sz w:val="22"/>
          <w:szCs w:val="22"/>
        </w:rPr>
        <w:t xml:space="preserve"> similar de la competencia y no reporte del ESFA a la Superintendencia de Sociedades, lo que supone un incumplimiento al Decreto 2420 de 2015 y sus modificatorios, que incorpora las Normas Internacionales de Información Financiera, para las cuales requieren que los pasivos contingentes se revelen de forma apropiada y adecuada. En consecuencia, la no </w:t>
      </w:r>
      <w:r w:rsidR="00D63EA5">
        <w:rPr>
          <w:rFonts w:ascii="Verdana" w:hAnsi="Verdana" w:cstheme="minorHAnsi"/>
          <w:sz w:val="22"/>
          <w:szCs w:val="22"/>
        </w:rPr>
        <w:t>revelación</w:t>
      </w:r>
      <w:r>
        <w:rPr>
          <w:rFonts w:ascii="Verdana" w:hAnsi="Verdana" w:cstheme="minorHAnsi"/>
          <w:sz w:val="22"/>
          <w:szCs w:val="22"/>
        </w:rPr>
        <w:t xml:space="preserve"> afecta la interpretación y el análisis de los estados financieros por los usuarios de la </w:t>
      </w:r>
      <w:r w:rsidR="00D63EA5">
        <w:rPr>
          <w:rFonts w:ascii="Verdana" w:hAnsi="Verdana" w:cstheme="minorHAnsi"/>
          <w:sz w:val="22"/>
          <w:szCs w:val="22"/>
        </w:rPr>
        <w:t>información</w:t>
      </w:r>
      <w:r>
        <w:rPr>
          <w:rFonts w:ascii="Verdana" w:hAnsi="Verdana" w:cstheme="minorHAnsi"/>
          <w:sz w:val="22"/>
          <w:szCs w:val="22"/>
        </w:rPr>
        <w:t xml:space="preserve"> financiera. [Modelo de salvedad por revelación inadecuada]. </w:t>
      </w:r>
    </w:p>
    <w:p w14:paraId="6757C4D7" w14:textId="77777777" w:rsidR="000F733B" w:rsidRDefault="000F733B" w:rsidP="000F733B">
      <w:pPr>
        <w:pStyle w:val="NormalWeb"/>
        <w:jc w:val="both"/>
        <w:rPr>
          <w:rFonts w:ascii="Verdana" w:hAnsi="Verdana" w:cs="Arial"/>
          <w:sz w:val="22"/>
          <w:szCs w:val="22"/>
          <w:lang w:val="es-ES"/>
        </w:rPr>
      </w:pPr>
      <w:r>
        <w:rPr>
          <w:rFonts w:ascii="Verdana" w:hAnsi="Verdana" w:cs="Arial"/>
          <w:sz w:val="22"/>
          <w:szCs w:val="22"/>
          <w:lang w:val="es-ES"/>
        </w:rPr>
        <w:t>Hemos llevado a cabo nuestra auditoría de conformidad con las Normas Internacionales de Auditoría (NIA) de conformidad Anexo No. 4 del Decreto Único Reglamentario 2420 de 2015.</w:t>
      </w:r>
    </w:p>
    <w:p w14:paraId="2D276185" w14:textId="77777777" w:rsidR="000F733B" w:rsidRDefault="000F733B" w:rsidP="000F733B">
      <w:pPr>
        <w:pStyle w:val="Default"/>
        <w:jc w:val="both"/>
        <w:rPr>
          <w:rFonts w:ascii="Verdana" w:hAnsi="Verdana" w:cstheme="minorHAnsi"/>
          <w:sz w:val="22"/>
          <w:szCs w:val="22"/>
          <w:lang w:val="es-ES"/>
        </w:rPr>
      </w:pPr>
      <w:r>
        <w:rPr>
          <w:rFonts w:ascii="Verdana" w:hAnsi="Verdana" w:cstheme="minorHAnsi"/>
          <w:sz w:val="22"/>
          <w:szCs w:val="22"/>
          <w:lang w:val="es-ES"/>
        </w:rPr>
        <w:t>Mi responsabilidad de acuerdo con dichas normas se describe más adelante en la sección Responsabilidades del auditor en relación con la auditoría de los estados financieros de mi informe.</w:t>
      </w:r>
    </w:p>
    <w:p w14:paraId="5AD4F6FE" w14:textId="77777777" w:rsidR="000F733B" w:rsidRDefault="000F733B" w:rsidP="000F733B">
      <w:pPr>
        <w:pStyle w:val="Default"/>
        <w:jc w:val="both"/>
        <w:rPr>
          <w:rFonts w:ascii="Verdana" w:hAnsi="Verdana" w:cstheme="minorHAnsi"/>
          <w:sz w:val="22"/>
          <w:szCs w:val="22"/>
          <w:lang w:val="es-ES"/>
        </w:rPr>
      </w:pPr>
    </w:p>
    <w:p w14:paraId="371459A6" w14:textId="77777777" w:rsidR="000F733B" w:rsidRDefault="000F733B" w:rsidP="000F733B">
      <w:pPr>
        <w:pStyle w:val="Default"/>
        <w:jc w:val="both"/>
        <w:rPr>
          <w:rFonts w:ascii="Verdana" w:hAnsi="Verdana" w:cstheme="minorHAnsi"/>
          <w:sz w:val="22"/>
          <w:szCs w:val="22"/>
          <w:lang w:val="es-ES"/>
        </w:rPr>
      </w:pPr>
      <w:r>
        <w:rPr>
          <w:rFonts w:ascii="Verdana" w:hAnsi="Verdana" w:cstheme="minorHAnsi"/>
          <w:sz w:val="22"/>
          <w:szCs w:val="22"/>
          <w:lang w:val="es-ES"/>
        </w:rPr>
        <w:t>Soy independiente de la Entidad de conformidad con los requerimientos de ética aplicables a mi auditoría de los estados financieros en [jurisdicción] y he cumplido las demás responsabilidades de conformidad con esos requerimientos. Considero que la evidencia de auditoría que he obtenido proporciona una base suficiente y adecuada para mi opinión.</w:t>
      </w:r>
    </w:p>
    <w:p w14:paraId="22BFF3F2" w14:textId="77777777" w:rsidR="000F733B" w:rsidRDefault="000F733B" w:rsidP="000F733B">
      <w:pPr>
        <w:pStyle w:val="Default"/>
        <w:jc w:val="both"/>
        <w:rPr>
          <w:rFonts w:ascii="Verdana" w:hAnsi="Verdana" w:cstheme="minorHAnsi"/>
          <w:b/>
          <w:bCs/>
          <w:sz w:val="22"/>
          <w:szCs w:val="22"/>
        </w:rPr>
      </w:pPr>
    </w:p>
    <w:p w14:paraId="38FE5F0F" w14:textId="77777777" w:rsidR="000F733B" w:rsidRDefault="000F733B" w:rsidP="000F733B">
      <w:pPr>
        <w:pStyle w:val="Default"/>
        <w:jc w:val="both"/>
        <w:rPr>
          <w:rFonts w:ascii="Verdana" w:hAnsi="Verdana" w:cstheme="minorHAnsi"/>
          <w:b/>
          <w:bCs/>
          <w:sz w:val="22"/>
          <w:szCs w:val="22"/>
        </w:rPr>
      </w:pPr>
      <w:r>
        <w:rPr>
          <w:rFonts w:ascii="Verdana" w:hAnsi="Verdana" w:cstheme="minorHAnsi"/>
          <w:b/>
          <w:bCs/>
          <w:sz w:val="22"/>
          <w:szCs w:val="22"/>
        </w:rPr>
        <w:t>Negocio en marcha (en caso de ser necesario)</w:t>
      </w:r>
    </w:p>
    <w:p w14:paraId="11919B9E" w14:textId="77777777" w:rsidR="000F733B" w:rsidRDefault="000F733B" w:rsidP="000F733B">
      <w:pPr>
        <w:pStyle w:val="Default"/>
        <w:jc w:val="both"/>
        <w:rPr>
          <w:rFonts w:ascii="Verdana" w:hAnsi="Verdana" w:cstheme="minorHAnsi"/>
          <w:b/>
          <w:bCs/>
          <w:sz w:val="22"/>
          <w:szCs w:val="22"/>
        </w:rPr>
      </w:pPr>
    </w:p>
    <w:p w14:paraId="1A0BB5B9" w14:textId="2EB18EB2"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Llamamos la </w:t>
      </w:r>
      <w:r w:rsidR="00D63EA5">
        <w:rPr>
          <w:rFonts w:ascii="Verdana" w:hAnsi="Verdana" w:cstheme="minorHAnsi"/>
          <w:sz w:val="22"/>
          <w:szCs w:val="22"/>
        </w:rPr>
        <w:t>atención</w:t>
      </w:r>
      <w:r>
        <w:rPr>
          <w:rFonts w:ascii="Verdana" w:hAnsi="Verdana" w:cstheme="minorHAnsi"/>
          <w:sz w:val="22"/>
          <w:szCs w:val="22"/>
        </w:rPr>
        <w:t xml:space="preserve"> sobre la </w:t>
      </w:r>
      <w:r>
        <w:rPr>
          <w:rFonts w:ascii="Verdana" w:hAnsi="Verdana" w:cstheme="minorHAnsi"/>
          <w:color w:val="FF0000"/>
          <w:sz w:val="22"/>
          <w:szCs w:val="22"/>
        </w:rPr>
        <w:t xml:space="preserve">Nota XXX </w:t>
      </w:r>
      <w:r>
        <w:rPr>
          <w:rFonts w:ascii="Verdana" w:hAnsi="Verdana" w:cstheme="minorHAnsi"/>
          <w:sz w:val="22"/>
          <w:szCs w:val="22"/>
        </w:rPr>
        <w:t xml:space="preserve">de los estados financieros que indica que la Sociedad ha incurrido en </w:t>
      </w:r>
      <w:r w:rsidR="00D63EA5">
        <w:rPr>
          <w:rFonts w:ascii="Verdana" w:hAnsi="Verdana" w:cstheme="minorHAnsi"/>
          <w:sz w:val="22"/>
          <w:szCs w:val="22"/>
        </w:rPr>
        <w:t>pérdidas</w:t>
      </w:r>
      <w:r>
        <w:rPr>
          <w:rFonts w:ascii="Verdana" w:hAnsi="Verdana" w:cstheme="minorHAnsi"/>
          <w:sz w:val="22"/>
          <w:szCs w:val="22"/>
        </w:rPr>
        <w:t xml:space="preserve"> netas de </w:t>
      </w:r>
      <w:r>
        <w:rPr>
          <w:rFonts w:ascii="Verdana" w:hAnsi="Verdana" w:cstheme="minorHAnsi"/>
          <w:color w:val="FF0000"/>
          <w:sz w:val="22"/>
          <w:szCs w:val="22"/>
        </w:rPr>
        <w:t xml:space="preserve">ZZZ </w:t>
      </w:r>
      <w:r>
        <w:rPr>
          <w:rFonts w:ascii="Verdana" w:hAnsi="Verdana" w:cstheme="minorHAnsi"/>
          <w:sz w:val="22"/>
          <w:szCs w:val="22"/>
        </w:rPr>
        <w:t xml:space="preserve">durante el ejercicio terminado el </w:t>
      </w:r>
      <w:r>
        <w:rPr>
          <w:rFonts w:ascii="Verdana" w:hAnsi="Verdana" w:cstheme="minorHAnsi"/>
          <w:color w:val="FF0000"/>
          <w:sz w:val="22"/>
          <w:szCs w:val="22"/>
        </w:rPr>
        <w:t>31 diciembre de 20X</w:t>
      </w:r>
      <w:r w:rsidR="00D63EA5">
        <w:rPr>
          <w:rFonts w:ascii="Verdana" w:hAnsi="Verdana" w:cstheme="minorHAnsi"/>
          <w:color w:val="FF0000"/>
          <w:sz w:val="22"/>
          <w:szCs w:val="22"/>
        </w:rPr>
        <w:t>X</w:t>
      </w:r>
      <w:r>
        <w:rPr>
          <w:rFonts w:ascii="Verdana" w:hAnsi="Verdana" w:cstheme="minorHAnsi"/>
          <w:color w:val="FF0000"/>
          <w:sz w:val="22"/>
          <w:szCs w:val="22"/>
        </w:rPr>
        <w:t xml:space="preserve"> </w:t>
      </w:r>
      <w:r>
        <w:rPr>
          <w:rFonts w:ascii="Verdana" w:hAnsi="Verdana" w:cstheme="minorHAnsi"/>
          <w:sz w:val="22"/>
          <w:szCs w:val="22"/>
        </w:rPr>
        <w:t xml:space="preserve">y que, a esa fecha, el pasivo corriente de la Sociedad </w:t>
      </w:r>
      <w:r w:rsidR="00D63EA5">
        <w:rPr>
          <w:rFonts w:ascii="Verdana" w:hAnsi="Verdana" w:cstheme="minorHAnsi"/>
          <w:sz w:val="22"/>
          <w:szCs w:val="22"/>
        </w:rPr>
        <w:t>excedía</w:t>
      </w:r>
      <w:r>
        <w:rPr>
          <w:rFonts w:ascii="Verdana" w:hAnsi="Verdana" w:cstheme="minorHAnsi"/>
          <w:sz w:val="22"/>
          <w:szCs w:val="22"/>
        </w:rPr>
        <w:t xml:space="preserve"> a sus activos totales en </w:t>
      </w:r>
      <w:r>
        <w:rPr>
          <w:rFonts w:ascii="Verdana" w:hAnsi="Verdana" w:cstheme="minorHAnsi"/>
          <w:color w:val="FF0000"/>
          <w:sz w:val="22"/>
          <w:szCs w:val="22"/>
        </w:rPr>
        <w:t>YYY</w:t>
      </w:r>
      <w:r>
        <w:rPr>
          <w:rFonts w:ascii="Verdana" w:hAnsi="Verdana" w:cstheme="minorHAnsi"/>
          <w:sz w:val="22"/>
          <w:szCs w:val="22"/>
        </w:rPr>
        <w:t xml:space="preserve">. Como se menciona en la Nota 6, estos hechos o condiciones, junto con otras cuestiones expuestas en la Nota 6, indican la existencia de una incertidumbre material que puede generar dudas significativas sobre la capacidad de la Sociedad para continuar como empresa </w:t>
      </w:r>
      <w:r>
        <w:rPr>
          <w:rFonts w:ascii="Verdana" w:hAnsi="Verdana" w:cstheme="minorHAnsi"/>
          <w:sz w:val="22"/>
          <w:szCs w:val="22"/>
        </w:rPr>
        <w:lastRenderedPageBreak/>
        <w:t xml:space="preserve">en funcionamiento. Nuestra </w:t>
      </w:r>
      <w:r w:rsidR="00D63EA5">
        <w:rPr>
          <w:rFonts w:ascii="Verdana" w:hAnsi="Verdana" w:cstheme="minorHAnsi"/>
          <w:sz w:val="22"/>
          <w:szCs w:val="22"/>
        </w:rPr>
        <w:t>opinión</w:t>
      </w:r>
      <w:r>
        <w:rPr>
          <w:rFonts w:ascii="Verdana" w:hAnsi="Verdana" w:cstheme="minorHAnsi"/>
          <w:sz w:val="22"/>
          <w:szCs w:val="22"/>
        </w:rPr>
        <w:t xml:space="preserve"> no ha sido modificada en </w:t>
      </w:r>
      <w:r w:rsidR="00D63EA5">
        <w:rPr>
          <w:rFonts w:ascii="Verdana" w:hAnsi="Verdana" w:cstheme="minorHAnsi"/>
          <w:sz w:val="22"/>
          <w:szCs w:val="22"/>
        </w:rPr>
        <w:t>relación</w:t>
      </w:r>
      <w:r>
        <w:rPr>
          <w:rFonts w:ascii="Verdana" w:hAnsi="Verdana" w:cstheme="minorHAnsi"/>
          <w:sz w:val="22"/>
          <w:szCs w:val="22"/>
        </w:rPr>
        <w:t xml:space="preserve"> con esta </w:t>
      </w:r>
      <w:r w:rsidR="00D63EA5">
        <w:rPr>
          <w:rFonts w:ascii="Verdana" w:hAnsi="Verdana" w:cstheme="minorHAnsi"/>
          <w:sz w:val="22"/>
          <w:szCs w:val="22"/>
        </w:rPr>
        <w:t>cuestión</w:t>
      </w:r>
      <w:r>
        <w:rPr>
          <w:rFonts w:ascii="Verdana" w:hAnsi="Verdana" w:cstheme="minorHAnsi"/>
          <w:sz w:val="22"/>
          <w:szCs w:val="22"/>
        </w:rPr>
        <w:t xml:space="preserve">. </w:t>
      </w:r>
    </w:p>
    <w:p w14:paraId="4E472BF5" w14:textId="77777777" w:rsidR="000F733B" w:rsidRDefault="000F733B" w:rsidP="000F733B">
      <w:pPr>
        <w:pStyle w:val="NormalWeb"/>
        <w:rPr>
          <w:rFonts w:ascii="Verdana" w:hAnsi="Verdana" w:cs="Arial"/>
          <w:b/>
          <w:bCs/>
          <w:sz w:val="22"/>
          <w:szCs w:val="22"/>
          <w:lang w:val="es-CO"/>
        </w:rPr>
      </w:pPr>
    </w:p>
    <w:p w14:paraId="1B6E4739" w14:textId="77777777" w:rsidR="000F733B" w:rsidRDefault="000F733B" w:rsidP="000F733B">
      <w:pPr>
        <w:pStyle w:val="NormalWeb"/>
        <w:rPr>
          <w:rFonts w:ascii="Verdana" w:hAnsi="Verdana" w:cs="Arial"/>
          <w:b/>
          <w:bCs/>
          <w:sz w:val="22"/>
          <w:szCs w:val="22"/>
          <w:lang w:val="es-CO"/>
        </w:rPr>
      </w:pPr>
      <w:r>
        <w:rPr>
          <w:rFonts w:ascii="Verdana" w:hAnsi="Verdana" w:cs="Arial"/>
          <w:b/>
          <w:bCs/>
          <w:sz w:val="22"/>
          <w:szCs w:val="22"/>
          <w:lang w:val="es-CO"/>
        </w:rPr>
        <w:t>Cuestiones Clave de Auditoría CCA</w:t>
      </w:r>
    </w:p>
    <w:p w14:paraId="70AF1ACA" w14:textId="77777777" w:rsidR="000F733B" w:rsidRDefault="000F733B" w:rsidP="000F733B">
      <w:pPr>
        <w:pStyle w:val="NormalWeb"/>
        <w:rPr>
          <w:rFonts w:ascii="Verdana" w:hAnsi="Verdana" w:cs="Arial"/>
          <w:b/>
          <w:bCs/>
          <w:sz w:val="22"/>
          <w:szCs w:val="22"/>
          <w:lang w:val="es-CO"/>
        </w:rPr>
      </w:pPr>
      <w:r>
        <w:rPr>
          <w:rFonts w:ascii="Verdana" w:hAnsi="Verdana" w:cs="Arial"/>
          <w:b/>
          <w:bCs/>
          <w:sz w:val="22"/>
          <w:szCs w:val="22"/>
          <w:lang w:val="es-CO"/>
        </w:rPr>
        <w:t>Unidades Generadora de Efectivo</w:t>
      </w:r>
    </w:p>
    <w:p w14:paraId="08A3A35C" w14:textId="77777777" w:rsidR="000F733B" w:rsidRDefault="000F733B" w:rsidP="000F733B">
      <w:pPr>
        <w:pStyle w:val="NormalWeb"/>
        <w:jc w:val="both"/>
        <w:rPr>
          <w:rFonts w:ascii="Verdana" w:hAnsi="Verdana" w:cs="Arial"/>
          <w:sz w:val="22"/>
          <w:szCs w:val="22"/>
          <w:lang w:val="es-CO"/>
        </w:rPr>
      </w:pPr>
      <w:r>
        <w:rPr>
          <w:rFonts w:ascii="Verdana" w:hAnsi="Verdana" w:cs="Arial"/>
          <w:sz w:val="22"/>
          <w:szCs w:val="22"/>
          <w:lang w:val="es-CO"/>
        </w:rPr>
        <w:t>Existe el riesgo de que estas unidades generadoras de efectivo (UGE) puedan no lograr el rendimiento esperado de su negocio para mantener su valor neto contable, lo que comportaría un cargo por deterioro que no fuera reconocido por la dirección.</w:t>
      </w:r>
    </w:p>
    <w:p w14:paraId="08BEAA29" w14:textId="77777777" w:rsidR="000F733B" w:rsidRDefault="000F733B" w:rsidP="000F733B">
      <w:pPr>
        <w:pStyle w:val="NormalWeb"/>
        <w:jc w:val="both"/>
        <w:rPr>
          <w:rFonts w:ascii="Verdana" w:hAnsi="Verdana" w:cs="Arial"/>
          <w:sz w:val="22"/>
          <w:szCs w:val="22"/>
          <w:lang w:val="es-CO"/>
        </w:rPr>
      </w:pPr>
      <w:r>
        <w:rPr>
          <w:rFonts w:ascii="Verdana" w:hAnsi="Verdana" w:cs="Arial"/>
          <w:sz w:val="22"/>
          <w:szCs w:val="22"/>
          <w:lang w:val="es-CO"/>
        </w:rPr>
        <w:t xml:space="preserve">Hemos llevado a cabo los siguientes procedimientos: </w:t>
      </w:r>
    </w:p>
    <w:p w14:paraId="1592A10B"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Examinamos las ocho unidades generadoras de efectivo identificadas por la dirección con base en nuestro conocimiento del negocio y la definición establecida en la normativa.</w:t>
      </w:r>
    </w:p>
    <w:p w14:paraId="3538D4AD"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Comparamos los datos de entrada del presupuesto y las hipótesis de crecimiento con tendencias históricas para valorar la fiabilidad de las previsiones de la dirección, además de comparar los supuestos previstos con un análisis de mercado externo.</w:t>
      </w:r>
    </w:p>
    <w:p w14:paraId="6043B4BB"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Con la asistencia de especialistas internos, hemos recalculado la tasa de descuento aplicada a los flujos de efectivo futuros y los hemos comparado con otras compañías del sector. Hemos probado el diseño, implementación y eficacia operativa de los controles clave en relación con las revisiones del deterioro.</w:t>
      </w:r>
    </w:p>
    <w:p w14:paraId="20795981"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Evaluamos el rendimiento actual y futuro y considerado si existe cualquier otro factor que pudiera sugerir que el fondo de comercio está deteriorado.</w:t>
      </w:r>
    </w:p>
    <w:p w14:paraId="6A6B6F18" w14:textId="77777777" w:rsidR="000F733B" w:rsidRDefault="000F733B" w:rsidP="000F733B">
      <w:pPr>
        <w:pStyle w:val="NormalWeb"/>
        <w:ind w:left="720"/>
        <w:jc w:val="both"/>
        <w:rPr>
          <w:rFonts w:ascii="Verdana" w:hAnsi="Verdana" w:cs="Arial"/>
          <w:sz w:val="22"/>
          <w:szCs w:val="22"/>
          <w:lang w:val="es-CO"/>
        </w:rPr>
      </w:pPr>
      <w:r>
        <w:rPr>
          <w:rFonts w:ascii="Verdana" w:hAnsi="Verdana" w:cs="Arial"/>
          <w:sz w:val="22"/>
          <w:szCs w:val="22"/>
          <w:lang w:val="es-CO"/>
        </w:rPr>
        <w:t>Como resultados de los procedimientos aplicados:</w:t>
      </w:r>
    </w:p>
    <w:p w14:paraId="3691E5A1"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La metodología aplicada por la dirección en la realización de sus pruebas de deterioro para cada una de las UGE relevantes son adecuadas conforme la evidencia obtenida.</w:t>
      </w:r>
    </w:p>
    <w:p w14:paraId="16231946" w14:textId="77777777" w:rsidR="000F733B" w:rsidRDefault="000F733B" w:rsidP="000F733B">
      <w:pPr>
        <w:pStyle w:val="NormalWeb"/>
        <w:numPr>
          <w:ilvl w:val="0"/>
          <w:numId w:val="2"/>
        </w:numPr>
        <w:jc w:val="both"/>
        <w:rPr>
          <w:rFonts w:ascii="Verdana" w:hAnsi="Verdana" w:cs="Arial"/>
          <w:sz w:val="22"/>
          <w:szCs w:val="22"/>
          <w:lang w:val="es-CO"/>
        </w:rPr>
      </w:pPr>
      <w:r>
        <w:rPr>
          <w:rFonts w:ascii="Verdana" w:hAnsi="Verdana" w:cs="Arial"/>
          <w:sz w:val="22"/>
          <w:szCs w:val="22"/>
          <w:lang w:val="es-CO"/>
        </w:rPr>
        <w:t>Con base en el resultado estamos de acuerdo con la conclusión de la dirección de que no se requerían deterioros.</w:t>
      </w:r>
    </w:p>
    <w:p w14:paraId="5B8D465B" w14:textId="77777777" w:rsidR="000F733B" w:rsidRDefault="000F733B" w:rsidP="000F733B">
      <w:pPr>
        <w:pStyle w:val="Default"/>
        <w:jc w:val="both"/>
        <w:rPr>
          <w:rFonts w:ascii="Verdana" w:hAnsi="Verdana" w:cstheme="minorHAnsi"/>
          <w:b/>
          <w:bCs/>
          <w:sz w:val="22"/>
          <w:szCs w:val="22"/>
        </w:rPr>
      </w:pPr>
      <w:r>
        <w:rPr>
          <w:rFonts w:ascii="Verdana" w:hAnsi="Verdana" w:cstheme="minorHAnsi"/>
          <w:b/>
          <w:bCs/>
          <w:sz w:val="22"/>
          <w:szCs w:val="22"/>
        </w:rPr>
        <w:t>Responsabilidades de la dirección y de los responsables del gobierno de la entidad en relación con los estados financieros</w:t>
      </w:r>
    </w:p>
    <w:p w14:paraId="55D0E62D" w14:textId="77777777" w:rsidR="000F733B" w:rsidRDefault="000F733B" w:rsidP="000F733B">
      <w:pPr>
        <w:pStyle w:val="NormalWeb"/>
        <w:jc w:val="both"/>
        <w:rPr>
          <w:rFonts w:ascii="Verdana" w:hAnsi="Verdana" w:cstheme="minorHAnsi"/>
          <w:sz w:val="22"/>
          <w:szCs w:val="22"/>
          <w:lang w:val="es-ES"/>
        </w:rPr>
      </w:pPr>
      <w:r>
        <w:rPr>
          <w:rFonts w:ascii="Verdana" w:hAnsi="Verdana" w:cstheme="minorHAnsi"/>
          <w:sz w:val="22"/>
          <w:szCs w:val="22"/>
          <w:lang w:val="es-ES"/>
        </w:rPr>
        <w:t>La dirección es responsable de la preparación y presentación de los estados financieros adjuntos de conformidad con el Anexo N° 1 a del Decreto 2420 de 2015 y sus modificatorios, que incorporan las Normas Internacionales de Información Financiera.</w:t>
      </w:r>
    </w:p>
    <w:p w14:paraId="4A1B3360" w14:textId="77777777" w:rsidR="000F733B" w:rsidRDefault="000F733B" w:rsidP="000F733B">
      <w:pPr>
        <w:pStyle w:val="NormalWeb"/>
        <w:jc w:val="both"/>
        <w:rPr>
          <w:rFonts w:ascii="Verdana" w:hAnsi="Verdana" w:cstheme="minorHAnsi"/>
          <w:sz w:val="22"/>
          <w:szCs w:val="22"/>
          <w:lang w:val="es-ES"/>
        </w:rPr>
      </w:pPr>
      <w:r>
        <w:rPr>
          <w:rFonts w:ascii="Verdana" w:hAnsi="Verdana" w:cstheme="minorHAnsi"/>
          <w:sz w:val="22"/>
          <w:szCs w:val="22"/>
          <w:lang w:val="es-ES"/>
        </w:rPr>
        <w:lastRenderedPageBreak/>
        <w:t xml:space="preserve">En la preparación de los estados financieros, la dirección es responsable de la valoración de la capacidad de la Sociedad de continuar como empresa en funcionamiento, revelando, según corresponda, las cuestiones relacionadas con la Empresa en funcionamiento y utilizando el principio contable de empresa en funcionamiento excepto si la dirección tiene intención de liquidar la sociedad o de cesar sus operaciones, o bien no exista otra alternativa realista. </w:t>
      </w:r>
    </w:p>
    <w:p w14:paraId="108EBA5A" w14:textId="77777777" w:rsidR="000F733B" w:rsidRDefault="000F733B" w:rsidP="000F733B">
      <w:pPr>
        <w:pStyle w:val="NormalWeb"/>
        <w:rPr>
          <w:rFonts w:ascii="Verdana" w:hAnsi="Verdana" w:cstheme="minorHAnsi"/>
          <w:sz w:val="22"/>
          <w:szCs w:val="22"/>
          <w:lang w:val="es-ES"/>
        </w:rPr>
      </w:pPr>
      <w:r>
        <w:rPr>
          <w:rFonts w:ascii="Verdana" w:hAnsi="Verdana" w:cstheme="minorHAnsi"/>
          <w:sz w:val="22"/>
          <w:szCs w:val="22"/>
          <w:lang w:val="es-ES"/>
        </w:rPr>
        <w:t xml:space="preserve">Los responsables del gobierno de la entidad son responsables de la supervisión del proceso de información financiera de la Sociedad. </w:t>
      </w:r>
    </w:p>
    <w:p w14:paraId="4E8FC551" w14:textId="77777777" w:rsidR="000F733B" w:rsidRDefault="000F733B" w:rsidP="000F733B">
      <w:pPr>
        <w:jc w:val="both"/>
        <w:rPr>
          <w:rFonts w:ascii="Verdana" w:hAnsi="Verdana" w:cs="Arial"/>
          <w:b/>
          <w:sz w:val="22"/>
          <w:szCs w:val="22"/>
          <w:lang w:val="es-ES"/>
        </w:rPr>
      </w:pPr>
      <w:r>
        <w:rPr>
          <w:rFonts w:ascii="Verdana" w:hAnsi="Verdana" w:cs="Arial"/>
          <w:b/>
          <w:sz w:val="22"/>
          <w:szCs w:val="22"/>
          <w:lang w:val="es-ES"/>
        </w:rPr>
        <w:t>Responsabilidades del auditor en relación con la auditoría de los estados financieros</w:t>
      </w:r>
    </w:p>
    <w:p w14:paraId="7C919E39" w14:textId="77777777" w:rsidR="000F733B" w:rsidRDefault="000F733B" w:rsidP="000F733B">
      <w:pPr>
        <w:jc w:val="both"/>
        <w:rPr>
          <w:rFonts w:ascii="Verdana" w:hAnsi="Verdana" w:cs="Arial"/>
          <w:sz w:val="22"/>
          <w:szCs w:val="22"/>
          <w:lang w:val="es-ES"/>
        </w:rPr>
      </w:pPr>
    </w:p>
    <w:p w14:paraId="796FDCD3" w14:textId="77777777" w:rsidR="000F733B" w:rsidRDefault="000F733B" w:rsidP="000F733B">
      <w:pPr>
        <w:jc w:val="both"/>
        <w:rPr>
          <w:rFonts w:ascii="Verdana" w:hAnsi="Verdana" w:cs="Arial"/>
          <w:sz w:val="22"/>
          <w:szCs w:val="22"/>
          <w:lang w:val="es-ES"/>
        </w:rPr>
      </w:pPr>
      <w:r>
        <w:rPr>
          <w:rFonts w:ascii="Verdana" w:hAnsi="Verdana" w:cs="Arial"/>
          <w:sz w:val="22"/>
          <w:szCs w:val="22"/>
          <w:lang w:val="es-ES"/>
        </w:rPr>
        <w:t xml:space="preserve">Nuestros objetivos son obtener una seguridad razonable de que los estados financieros en su conjunto están libres de incorrección material, debida a fraude o error, y emitir un informe de auditoría que contiene nuestra opinión. Seguridad razonable es un alto grado de seguridad, pero no garantiza que una auditoría realizada de conformidad con las NIA Anexo No. 4 del Decreto Único Reglamentario 2420 de 201,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w:t>
      </w:r>
    </w:p>
    <w:p w14:paraId="53778F0D" w14:textId="77777777" w:rsidR="000F733B" w:rsidRDefault="000F733B" w:rsidP="000F733B">
      <w:pPr>
        <w:jc w:val="both"/>
        <w:rPr>
          <w:rFonts w:ascii="Verdana" w:hAnsi="Verdana" w:cs="Arial"/>
          <w:sz w:val="22"/>
          <w:szCs w:val="22"/>
          <w:lang w:val="es-ES"/>
        </w:rPr>
      </w:pPr>
    </w:p>
    <w:p w14:paraId="2CB7BE11" w14:textId="77777777" w:rsidR="000F733B" w:rsidRDefault="000F733B" w:rsidP="000F733B">
      <w:pPr>
        <w:jc w:val="both"/>
        <w:rPr>
          <w:rFonts w:ascii="Verdana" w:hAnsi="Verdana" w:cs="Arial"/>
          <w:sz w:val="22"/>
          <w:szCs w:val="22"/>
          <w:lang w:val="es-CO"/>
        </w:rPr>
      </w:pPr>
      <w:r>
        <w:rPr>
          <w:rFonts w:ascii="Verdana" w:hAnsi="Verdana" w:cs="Arial"/>
          <w:sz w:val="22"/>
          <w:szCs w:val="22"/>
          <w:lang w:val="es-CO"/>
        </w:rPr>
        <w:t xml:space="preserve">Como parte de una auditoría de conformidad con las NIA </w:t>
      </w:r>
      <w:r>
        <w:rPr>
          <w:rFonts w:ascii="Verdana" w:hAnsi="Verdana" w:cs="Arial"/>
          <w:sz w:val="22"/>
          <w:szCs w:val="22"/>
          <w:lang w:val="es-ES"/>
        </w:rPr>
        <w:t>Anexo No. 4 del Decreto Único Reglamentario 2420 de 2015</w:t>
      </w:r>
      <w:r>
        <w:rPr>
          <w:rFonts w:ascii="Verdana" w:hAnsi="Verdana" w:cs="Arial"/>
          <w:sz w:val="22"/>
          <w:szCs w:val="22"/>
          <w:lang w:val="es-CO"/>
        </w:rPr>
        <w:t>, apliqué mi juicio profesional y mantengo una actitud de escepticismo profesional durante toda la auditoría.</w:t>
      </w:r>
    </w:p>
    <w:p w14:paraId="20034B93" w14:textId="77777777" w:rsidR="000F733B" w:rsidRDefault="000F733B" w:rsidP="000F733B">
      <w:pPr>
        <w:jc w:val="both"/>
        <w:rPr>
          <w:rFonts w:ascii="Verdana" w:hAnsi="Verdana" w:cs="Arial"/>
          <w:sz w:val="22"/>
          <w:szCs w:val="22"/>
          <w:lang w:val="es-CO"/>
        </w:rPr>
      </w:pPr>
    </w:p>
    <w:p w14:paraId="3976FF20" w14:textId="77777777" w:rsidR="000F733B" w:rsidRDefault="000F733B" w:rsidP="000F733B">
      <w:pPr>
        <w:pStyle w:val="Default"/>
        <w:rPr>
          <w:rFonts w:ascii="Verdana" w:hAnsi="Verdana" w:cstheme="minorHAnsi"/>
          <w:sz w:val="22"/>
          <w:szCs w:val="22"/>
        </w:rPr>
      </w:pPr>
      <w:r>
        <w:rPr>
          <w:rFonts w:ascii="Verdana" w:hAnsi="Verdana" w:cstheme="minorHAnsi"/>
          <w:sz w:val="22"/>
          <w:szCs w:val="22"/>
        </w:rPr>
        <w:t xml:space="preserve">También: </w:t>
      </w:r>
    </w:p>
    <w:p w14:paraId="2526355C" w14:textId="77777777" w:rsidR="000F733B" w:rsidRDefault="000F733B" w:rsidP="000F733B">
      <w:pPr>
        <w:pStyle w:val="Default"/>
        <w:spacing w:after="19"/>
        <w:jc w:val="both"/>
        <w:rPr>
          <w:rFonts w:ascii="Verdana" w:hAnsi="Verdana" w:cstheme="minorHAnsi"/>
          <w:sz w:val="22"/>
          <w:szCs w:val="22"/>
        </w:rPr>
      </w:pPr>
    </w:p>
    <w:p w14:paraId="45D9CFE1" w14:textId="77777777" w:rsidR="000F733B" w:rsidRDefault="000F733B" w:rsidP="000F733B">
      <w:pPr>
        <w:pStyle w:val="Default"/>
        <w:numPr>
          <w:ilvl w:val="0"/>
          <w:numId w:val="3"/>
        </w:numPr>
        <w:spacing w:after="19"/>
        <w:jc w:val="both"/>
        <w:rPr>
          <w:rFonts w:ascii="Verdana" w:hAnsi="Verdana" w:cstheme="minorHAnsi"/>
          <w:sz w:val="22"/>
          <w:szCs w:val="22"/>
        </w:rPr>
      </w:pPr>
      <w:r>
        <w:rPr>
          <w:rFonts w:ascii="Verdana" w:hAnsi="Verdana" w:cstheme="minorHAnsi"/>
          <w:sz w:val="22"/>
          <w:szCs w:val="22"/>
        </w:rPr>
        <w:t xml:space="preserve">Identifiqué y valoré los riesgos de incorrección material en los estados financieros, debida a fraude o error, diseñé y apliqué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 </w:t>
      </w:r>
    </w:p>
    <w:p w14:paraId="5008D330" w14:textId="77777777" w:rsidR="000F733B" w:rsidRDefault="000F733B" w:rsidP="000F733B">
      <w:pPr>
        <w:pStyle w:val="Default"/>
        <w:numPr>
          <w:ilvl w:val="0"/>
          <w:numId w:val="3"/>
        </w:numPr>
        <w:spacing w:after="19"/>
        <w:jc w:val="both"/>
        <w:rPr>
          <w:rFonts w:ascii="Verdana" w:hAnsi="Verdana" w:cstheme="minorHAnsi"/>
          <w:sz w:val="22"/>
          <w:szCs w:val="22"/>
        </w:rPr>
      </w:pPr>
      <w:r>
        <w:rPr>
          <w:rFonts w:ascii="Verdana" w:hAnsi="Verdana" w:cstheme="minorHAnsi"/>
          <w:sz w:val="22"/>
          <w:szCs w:val="22"/>
        </w:rPr>
        <w:t xml:space="preserve">Evalué la adecuación de las políticas contables aplicadas y la razonabilidad de las estimaciones contables y la correspondiente información revelada por la dirección. </w:t>
      </w:r>
    </w:p>
    <w:p w14:paraId="7D9ABA37" w14:textId="77777777" w:rsidR="000F733B" w:rsidRDefault="000F733B" w:rsidP="000F733B">
      <w:pPr>
        <w:pStyle w:val="Default"/>
        <w:numPr>
          <w:ilvl w:val="0"/>
          <w:numId w:val="3"/>
        </w:numPr>
        <w:spacing w:after="19"/>
        <w:jc w:val="both"/>
        <w:rPr>
          <w:rFonts w:ascii="Verdana" w:hAnsi="Verdana" w:cstheme="minorHAnsi"/>
          <w:sz w:val="22"/>
          <w:szCs w:val="22"/>
        </w:rPr>
      </w:pPr>
      <w:r>
        <w:rPr>
          <w:rFonts w:ascii="Verdana" w:hAnsi="Verdana" w:cstheme="minorHAnsi"/>
          <w:sz w:val="22"/>
          <w:szCs w:val="22"/>
        </w:rPr>
        <w:t xml:space="preserve">Concluí sobre lo adecuado de la utilización, por la dirección, del principio contable de empresa en funcionamiento y, basándome en la evidencia de auditoría obtenida, concluí que no una incertidumbre material relacionada con hechos o con condiciones que pueden generar dudas significativas sobre la capacidad de la Entidad para continuar como empresa en funcionamiento. </w:t>
      </w:r>
    </w:p>
    <w:p w14:paraId="33E6D1C2" w14:textId="77777777" w:rsidR="000F733B" w:rsidRDefault="000F733B" w:rsidP="000F733B">
      <w:pPr>
        <w:pStyle w:val="Default"/>
        <w:numPr>
          <w:ilvl w:val="0"/>
          <w:numId w:val="3"/>
        </w:numPr>
        <w:spacing w:after="19"/>
        <w:jc w:val="both"/>
        <w:rPr>
          <w:rFonts w:ascii="Verdana" w:hAnsi="Verdana" w:cstheme="minorHAnsi"/>
          <w:sz w:val="22"/>
          <w:szCs w:val="22"/>
        </w:rPr>
      </w:pPr>
      <w:r>
        <w:rPr>
          <w:rFonts w:ascii="Verdana" w:hAnsi="Verdana" w:cstheme="minorHAnsi"/>
          <w:sz w:val="22"/>
          <w:szCs w:val="22"/>
        </w:rPr>
        <w:lastRenderedPageBreak/>
        <w:t xml:space="preserve">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w:t>
      </w:r>
    </w:p>
    <w:p w14:paraId="3909CA08" w14:textId="77777777" w:rsidR="000F733B" w:rsidRDefault="000F733B" w:rsidP="000F733B">
      <w:pPr>
        <w:pStyle w:val="Default"/>
        <w:rPr>
          <w:rFonts w:ascii="Verdana" w:hAnsi="Verdana" w:cstheme="minorHAnsi"/>
          <w:b/>
          <w:bCs/>
          <w:sz w:val="22"/>
          <w:szCs w:val="22"/>
        </w:rPr>
      </w:pPr>
    </w:p>
    <w:p w14:paraId="4798647B" w14:textId="77777777" w:rsidR="000F733B" w:rsidRDefault="000F733B" w:rsidP="000F733B">
      <w:pPr>
        <w:pStyle w:val="Default"/>
        <w:rPr>
          <w:rFonts w:ascii="Verdana" w:hAnsi="Verdana" w:cstheme="minorHAnsi"/>
          <w:b/>
          <w:bCs/>
          <w:sz w:val="22"/>
          <w:szCs w:val="22"/>
        </w:rPr>
      </w:pPr>
      <w:r>
        <w:rPr>
          <w:rFonts w:ascii="Verdana" w:hAnsi="Verdana" w:cstheme="minorHAnsi"/>
          <w:b/>
          <w:bCs/>
          <w:sz w:val="22"/>
          <w:szCs w:val="22"/>
        </w:rPr>
        <w:t>Informe sobre otros requerimientos legales y reglamentarios</w:t>
      </w:r>
    </w:p>
    <w:p w14:paraId="3C5398C7" w14:textId="77777777" w:rsidR="000F733B" w:rsidRDefault="000F733B" w:rsidP="000F733B">
      <w:pPr>
        <w:pStyle w:val="Default"/>
        <w:rPr>
          <w:rFonts w:ascii="Verdana" w:hAnsi="Verdana" w:cstheme="minorHAnsi"/>
          <w:sz w:val="22"/>
          <w:szCs w:val="22"/>
        </w:rPr>
      </w:pPr>
      <w:r>
        <w:rPr>
          <w:rFonts w:ascii="Verdana" w:hAnsi="Verdana" w:cstheme="minorHAnsi"/>
          <w:b/>
          <w:bCs/>
          <w:sz w:val="22"/>
          <w:szCs w:val="22"/>
        </w:rPr>
        <w:t xml:space="preserve"> </w:t>
      </w:r>
    </w:p>
    <w:p w14:paraId="6E18D8D1"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Además, informo que durante el año 2019,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 el pago oportuno al Sistema de Seguridad Social Integral. Los administradores dejaron constancia en el informe de gestión de que no entorpecieron la libre circulación de las facturas de sus proveedores de bienes y servicios. </w:t>
      </w:r>
    </w:p>
    <w:p w14:paraId="4A42B18D" w14:textId="77777777" w:rsidR="000F733B" w:rsidRDefault="000F733B" w:rsidP="000F733B">
      <w:pPr>
        <w:pStyle w:val="Default"/>
        <w:jc w:val="both"/>
        <w:rPr>
          <w:rFonts w:ascii="Verdana" w:hAnsi="Verdana" w:cstheme="minorHAnsi"/>
          <w:sz w:val="22"/>
          <w:szCs w:val="22"/>
        </w:rPr>
      </w:pPr>
    </w:p>
    <w:p w14:paraId="7BA25027" w14:textId="77777777" w:rsidR="000F733B" w:rsidRDefault="000F733B" w:rsidP="000F733B">
      <w:pPr>
        <w:pStyle w:val="Default"/>
        <w:rPr>
          <w:rFonts w:ascii="Verdana" w:hAnsi="Verdana" w:cstheme="minorHAnsi"/>
          <w:b/>
          <w:bCs/>
          <w:sz w:val="22"/>
          <w:szCs w:val="22"/>
        </w:rPr>
      </w:pPr>
      <w:r>
        <w:rPr>
          <w:rFonts w:ascii="Verdana" w:hAnsi="Verdana" w:cstheme="minorHAnsi"/>
          <w:b/>
          <w:bCs/>
          <w:sz w:val="22"/>
          <w:szCs w:val="22"/>
        </w:rPr>
        <w:t>Opinión sobre control interno y cumplimiento legal y normativo</w:t>
      </w:r>
    </w:p>
    <w:p w14:paraId="1CE9D185" w14:textId="77777777" w:rsidR="000F733B" w:rsidRDefault="000F733B" w:rsidP="000F733B">
      <w:pPr>
        <w:pStyle w:val="Default"/>
        <w:rPr>
          <w:rFonts w:ascii="Verdana" w:hAnsi="Verdana" w:cstheme="minorHAnsi"/>
          <w:sz w:val="22"/>
          <w:szCs w:val="22"/>
        </w:rPr>
      </w:pPr>
    </w:p>
    <w:p w14:paraId="51179DC7"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Además, el Código de Comercio establece en el artículo 209 la obligación de pronunciarme sobre el cumplimiento de normas legales e internas y sobre lo adecuado del control interno.</w:t>
      </w:r>
    </w:p>
    <w:p w14:paraId="120CB98E" w14:textId="77777777" w:rsidR="000F733B" w:rsidRDefault="000F733B" w:rsidP="000F733B">
      <w:pPr>
        <w:pStyle w:val="Default"/>
        <w:jc w:val="both"/>
        <w:rPr>
          <w:rFonts w:ascii="Verdana" w:hAnsi="Verdana" w:cstheme="minorHAnsi"/>
          <w:sz w:val="22"/>
          <w:szCs w:val="22"/>
        </w:rPr>
      </w:pPr>
    </w:p>
    <w:p w14:paraId="0D374366" w14:textId="10E33979" w:rsidR="000F733B" w:rsidRDefault="000F733B" w:rsidP="000F733B">
      <w:pPr>
        <w:pStyle w:val="Default"/>
        <w:jc w:val="both"/>
        <w:rPr>
          <w:rFonts w:ascii="Verdana" w:hAnsi="Verdana" w:cstheme="minorHAnsi"/>
          <w:sz w:val="22"/>
          <w:szCs w:val="22"/>
        </w:rPr>
      </w:pPr>
      <w:r>
        <w:rPr>
          <w:rFonts w:ascii="Verdana" w:hAnsi="Verdana"/>
          <w:sz w:val="22"/>
          <w:szCs w:val="22"/>
        </w:rPr>
        <w:t xml:space="preserve">En cumplimiento de la Parte 2, </w:t>
      </w:r>
      <w:r w:rsidR="00D63EA5">
        <w:rPr>
          <w:rFonts w:ascii="Verdana" w:hAnsi="Verdana"/>
          <w:sz w:val="22"/>
          <w:szCs w:val="22"/>
        </w:rPr>
        <w:t>Título</w:t>
      </w:r>
      <w:r>
        <w:rPr>
          <w:rFonts w:ascii="Verdana" w:hAnsi="Verdana"/>
          <w:sz w:val="22"/>
          <w:szCs w:val="22"/>
        </w:rPr>
        <w:t xml:space="preserve"> 1° del Decreto </w:t>
      </w:r>
      <w:r w:rsidR="00D63EA5">
        <w:rPr>
          <w:rFonts w:ascii="Verdana" w:hAnsi="Verdana"/>
          <w:sz w:val="22"/>
          <w:szCs w:val="22"/>
        </w:rPr>
        <w:t>Único</w:t>
      </w:r>
      <w:r>
        <w:rPr>
          <w:rFonts w:ascii="Verdana" w:hAnsi="Verdana"/>
          <w:sz w:val="22"/>
          <w:szCs w:val="22"/>
        </w:rPr>
        <w:t xml:space="preserve"> Reglamentario 2420 de 2015, apliqué los principios contenidos en la ISAE 3000 para realizar mi </w:t>
      </w:r>
      <w:r w:rsidR="00D63EA5">
        <w:rPr>
          <w:rFonts w:ascii="Verdana" w:hAnsi="Verdana"/>
          <w:sz w:val="22"/>
          <w:szCs w:val="22"/>
        </w:rPr>
        <w:t>evaluación</w:t>
      </w:r>
      <w:r>
        <w:rPr>
          <w:rFonts w:ascii="Verdana" w:hAnsi="Verdana"/>
          <w:sz w:val="22"/>
          <w:szCs w:val="22"/>
        </w:rPr>
        <w:t xml:space="preserve">. </w:t>
      </w:r>
    </w:p>
    <w:p w14:paraId="1C21461F" w14:textId="77777777" w:rsidR="000F733B" w:rsidRDefault="000F733B" w:rsidP="000F733B">
      <w:pPr>
        <w:pStyle w:val="Default"/>
        <w:jc w:val="both"/>
        <w:rPr>
          <w:rFonts w:ascii="Verdana" w:hAnsi="Verdana" w:cstheme="minorHAnsi"/>
          <w:sz w:val="22"/>
          <w:szCs w:val="22"/>
        </w:rPr>
      </w:pPr>
    </w:p>
    <w:p w14:paraId="438BD13A"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 </w:t>
      </w:r>
    </w:p>
    <w:p w14:paraId="65E68039" w14:textId="77777777" w:rsidR="000F733B" w:rsidRDefault="000F733B" w:rsidP="000F733B">
      <w:pPr>
        <w:pStyle w:val="Default"/>
        <w:spacing w:after="60"/>
        <w:jc w:val="both"/>
        <w:rPr>
          <w:rFonts w:ascii="Verdana" w:hAnsi="Verdana" w:cstheme="minorHAnsi"/>
          <w:sz w:val="22"/>
          <w:szCs w:val="22"/>
        </w:rPr>
      </w:pPr>
    </w:p>
    <w:p w14:paraId="56D208F6" w14:textId="77777777" w:rsidR="000F733B" w:rsidRDefault="000F733B" w:rsidP="000F733B">
      <w:pPr>
        <w:pStyle w:val="Default"/>
        <w:numPr>
          <w:ilvl w:val="0"/>
          <w:numId w:val="3"/>
        </w:numPr>
        <w:spacing w:after="60"/>
        <w:jc w:val="both"/>
        <w:rPr>
          <w:rFonts w:ascii="Verdana" w:hAnsi="Verdana" w:cstheme="minorHAnsi"/>
          <w:sz w:val="22"/>
          <w:szCs w:val="22"/>
        </w:rPr>
      </w:pPr>
      <w:r>
        <w:rPr>
          <w:rFonts w:ascii="Verdana" w:hAnsi="Verdana" w:cstheme="minorHAnsi"/>
          <w:sz w:val="22"/>
          <w:szCs w:val="22"/>
        </w:rPr>
        <w:t>Normas legales que afectan la actividad de la entidad</w:t>
      </w:r>
    </w:p>
    <w:p w14:paraId="52AEA1AE" w14:textId="77777777" w:rsidR="000F733B" w:rsidRDefault="000F733B" w:rsidP="000F733B">
      <w:pPr>
        <w:pStyle w:val="Default"/>
        <w:numPr>
          <w:ilvl w:val="0"/>
          <w:numId w:val="3"/>
        </w:numPr>
        <w:spacing w:after="60"/>
        <w:jc w:val="both"/>
        <w:rPr>
          <w:rFonts w:ascii="Verdana" w:hAnsi="Verdana" w:cstheme="minorHAnsi"/>
          <w:sz w:val="22"/>
          <w:szCs w:val="22"/>
        </w:rPr>
      </w:pPr>
      <w:r>
        <w:rPr>
          <w:rFonts w:ascii="Verdana" w:hAnsi="Verdana" w:cstheme="minorHAnsi"/>
          <w:sz w:val="22"/>
          <w:szCs w:val="22"/>
        </w:rPr>
        <w:t>Estatutos de la entidad</w:t>
      </w:r>
    </w:p>
    <w:p w14:paraId="107D61A9" w14:textId="77777777" w:rsidR="000F733B" w:rsidRDefault="000F733B" w:rsidP="000F733B">
      <w:pPr>
        <w:pStyle w:val="Default"/>
        <w:numPr>
          <w:ilvl w:val="0"/>
          <w:numId w:val="3"/>
        </w:numPr>
        <w:spacing w:after="60"/>
        <w:jc w:val="both"/>
        <w:rPr>
          <w:rFonts w:ascii="Verdana" w:hAnsi="Verdana" w:cstheme="minorHAnsi"/>
          <w:sz w:val="22"/>
          <w:szCs w:val="22"/>
        </w:rPr>
      </w:pPr>
      <w:r>
        <w:rPr>
          <w:rFonts w:ascii="Verdana" w:hAnsi="Verdana" w:cstheme="minorHAnsi"/>
          <w:sz w:val="22"/>
          <w:szCs w:val="22"/>
        </w:rPr>
        <w:t xml:space="preserve">Actas de asamblea y de junta directiva </w:t>
      </w:r>
    </w:p>
    <w:p w14:paraId="351854E1" w14:textId="77777777" w:rsidR="000F733B" w:rsidRDefault="000F733B" w:rsidP="000F733B">
      <w:pPr>
        <w:pStyle w:val="Default"/>
        <w:numPr>
          <w:ilvl w:val="0"/>
          <w:numId w:val="3"/>
        </w:numPr>
        <w:jc w:val="both"/>
        <w:rPr>
          <w:rFonts w:ascii="Verdana" w:hAnsi="Verdana" w:cstheme="minorHAnsi"/>
          <w:sz w:val="22"/>
          <w:szCs w:val="22"/>
        </w:rPr>
      </w:pPr>
      <w:r>
        <w:rPr>
          <w:rFonts w:ascii="Verdana" w:hAnsi="Verdana" w:cstheme="minorHAnsi"/>
          <w:sz w:val="22"/>
          <w:szCs w:val="22"/>
        </w:rPr>
        <w:t>Manuales de funciones y procedimientos</w:t>
      </w:r>
      <w:r>
        <w:rPr>
          <w:rFonts w:ascii="Verdana" w:hAnsi="Verdana" w:cstheme="minorHAnsi"/>
          <w:i/>
          <w:iCs/>
          <w:sz w:val="22"/>
          <w:szCs w:val="22"/>
        </w:rPr>
        <w:t xml:space="preserve"> </w:t>
      </w:r>
    </w:p>
    <w:p w14:paraId="017D1655" w14:textId="77777777" w:rsidR="000F733B" w:rsidRDefault="000F733B" w:rsidP="000F733B">
      <w:pPr>
        <w:pStyle w:val="Default"/>
        <w:rPr>
          <w:rFonts w:ascii="Verdana" w:hAnsi="Verdana" w:cstheme="minorHAnsi"/>
          <w:sz w:val="22"/>
          <w:szCs w:val="22"/>
        </w:rPr>
      </w:pPr>
    </w:p>
    <w:p w14:paraId="36CE5F25"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Para la evaluación del control interno, utilicé como criterio el modelo COSO. Este modelo no es de uso obligatorio para la compañía, pero es un referente aceptado internacionalmente para configurar un proceso adecuado de control interno.</w:t>
      </w:r>
    </w:p>
    <w:p w14:paraId="2624E4FD" w14:textId="77777777" w:rsidR="000F733B" w:rsidRDefault="000F733B" w:rsidP="000F733B">
      <w:pPr>
        <w:pStyle w:val="Default"/>
        <w:jc w:val="both"/>
        <w:rPr>
          <w:rFonts w:ascii="Verdana" w:hAnsi="Verdana" w:cstheme="minorHAnsi"/>
          <w:sz w:val="22"/>
          <w:szCs w:val="22"/>
        </w:rPr>
      </w:pPr>
    </w:p>
    <w:p w14:paraId="707174FB"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w:t>
      </w:r>
    </w:p>
    <w:p w14:paraId="4BA1AE6E" w14:textId="77777777" w:rsidR="000F733B" w:rsidRDefault="000F733B" w:rsidP="000F733B">
      <w:pPr>
        <w:pStyle w:val="Default"/>
        <w:jc w:val="both"/>
        <w:rPr>
          <w:rFonts w:ascii="Verdana" w:hAnsi="Verdana" w:cstheme="minorHAnsi"/>
          <w:sz w:val="22"/>
          <w:szCs w:val="22"/>
        </w:rPr>
      </w:pPr>
    </w:p>
    <w:p w14:paraId="14AD8582"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El control interno de una entidad incluye aquellas políticas y procedimientos que:</w:t>
      </w:r>
    </w:p>
    <w:p w14:paraId="5FE79402" w14:textId="77777777" w:rsidR="000F733B" w:rsidRDefault="000F733B" w:rsidP="000F733B">
      <w:pPr>
        <w:pStyle w:val="Default"/>
        <w:jc w:val="both"/>
        <w:rPr>
          <w:rFonts w:ascii="Verdana" w:hAnsi="Verdana" w:cstheme="minorHAnsi"/>
          <w:sz w:val="22"/>
          <w:szCs w:val="22"/>
        </w:rPr>
      </w:pPr>
    </w:p>
    <w:p w14:paraId="5225EB04" w14:textId="77777777" w:rsidR="000F733B" w:rsidRDefault="000F733B" w:rsidP="000F733B">
      <w:pPr>
        <w:pStyle w:val="Default"/>
        <w:numPr>
          <w:ilvl w:val="0"/>
          <w:numId w:val="4"/>
        </w:numPr>
        <w:jc w:val="both"/>
        <w:rPr>
          <w:rFonts w:ascii="Verdana" w:hAnsi="Verdana" w:cstheme="minorHAnsi"/>
          <w:sz w:val="22"/>
          <w:szCs w:val="22"/>
        </w:rPr>
      </w:pPr>
      <w:r>
        <w:rPr>
          <w:rFonts w:ascii="Verdana" w:hAnsi="Verdana" w:cstheme="minorHAnsi"/>
          <w:sz w:val="22"/>
          <w:szCs w:val="22"/>
        </w:rPr>
        <w:t xml:space="preserve">Permiten el mantenimiento de los registros que, en un detalle razonable, reflejen en forma fiel y adecuada las transacciones y las disposiciones de los activos de la entidad; </w:t>
      </w:r>
    </w:p>
    <w:p w14:paraId="13B5CD93" w14:textId="77777777" w:rsidR="000F733B" w:rsidRDefault="000F733B" w:rsidP="000F733B">
      <w:pPr>
        <w:pStyle w:val="Default"/>
        <w:numPr>
          <w:ilvl w:val="0"/>
          <w:numId w:val="4"/>
        </w:numPr>
        <w:jc w:val="both"/>
        <w:rPr>
          <w:rFonts w:ascii="Verdana" w:hAnsi="Verdana" w:cstheme="minorHAnsi"/>
          <w:sz w:val="22"/>
          <w:szCs w:val="22"/>
        </w:rPr>
      </w:pPr>
      <w:r>
        <w:rPr>
          <w:rFonts w:ascii="Verdana" w:hAnsi="Verdana" w:cstheme="minorHAnsi"/>
          <w:sz w:val="22"/>
          <w:szCs w:val="22"/>
        </w:rPr>
        <w:t xml:space="preserve">Proveen razonable seguridad de que las transacciones son registradas en lo necesario para permitir la preparación de los estados financieros de acuerdo con el marco técnico normativo aplicable al Grupo N° 1, que corresponde a la NIIF, y que los ingresos y desembolsos de la entidad están siendo efectuados solamente de acuerdo con las autorizaciones de la administración y de aquellos encargados del gobierno corporativo; y </w:t>
      </w:r>
    </w:p>
    <w:p w14:paraId="409C4111" w14:textId="77777777" w:rsidR="000F733B" w:rsidRDefault="000F733B" w:rsidP="000F733B">
      <w:pPr>
        <w:pStyle w:val="Default"/>
        <w:numPr>
          <w:ilvl w:val="0"/>
          <w:numId w:val="4"/>
        </w:numPr>
        <w:jc w:val="both"/>
        <w:rPr>
          <w:rFonts w:ascii="Verdana" w:hAnsi="Verdana" w:cstheme="minorHAnsi"/>
          <w:sz w:val="22"/>
          <w:szCs w:val="22"/>
        </w:rPr>
      </w:pPr>
      <w:r>
        <w:rPr>
          <w:rFonts w:ascii="Verdana" w:hAnsi="Verdana" w:cstheme="minorHAnsi"/>
          <w:sz w:val="22"/>
          <w:szCs w:val="22"/>
        </w:rPr>
        <w:t xml:space="preserve">Proveer seguridad razonable en relación con la prevención, detección y corrección oportuna de adquisiciones no autorizadas, y el uso o disposición de los activos de la entidad que puedan tener un efecto importante en los estados financieros. </w:t>
      </w:r>
    </w:p>
    <w:p w14:paraId="4578F9A6" w14:textId="77777777" w:rsidR="000F733B" w:rsidRDefault="000F733B" w:rsidP="000F733B">
      <w:pPr>
        <w:pStyle w:val="Default"/>
        <w:jc w:val="both"/>
        <w:rPr>
          <w:rFonts w:ascii="Verdana" w:hAnsi="Verdana" w:cstheme="minorHAnsi"/>
          <w:sz w:val="22"/>
          <w:szCs w:val="22"/>
        </w:rPr>
      </w:pPr>
    </w:p>
    <w:p w14:paraId="4D0E324A"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w:t>
      </w:r>
    </w:p>
    <w:p w14:paraId="34AC2AAF" w14:textId="77777777" w:rsidR="000F733B" w:rsidRDefault="000F733B" w:rsidP="000F733B">
      <w:pPr>
        <w:pStyle w:val="Default"/>
        <w:rPr>
          <w:rFonts w:ascii="Verdana" w:hAnsi="Verdana" w:cstheme="minorHAnsi"/>
          <w:sz w:val="22"/>
          <w:szCs w:val="22"/>
        </w:rPr>
      </w:pPr>
    </w:p>
    <w:p w14:paraId="4BEE4155"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w:t>
      </w:r>
    </w:p>
    <w:p w14:paraId="0E4D37D8" w14:textId="77777777" w:rsidR="000F733B" w:rsidRDefault="000F733B" w:rsidP="000F733B">
      <w:pPr>
        <w:pStyle w:val="Default"/>
        <w:rPr>
          <w:rFonts w:ascii="Verdana" w:hAnsi="Verdana" w:cstheme="minorHAnsi"/>
          <w:sz w:val="22"/>
          <w:szCs w:val="22"/>
        </w:rPr>
      </w:pPr>
    </w:p>
    <w:p w14:paraId="43640467" w14:textId="77777777"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 Considero que los procedimientos seguidos en mi evaluación son una base suficiente para expresar mi conclusión. </w:t>
      </w:r>
    </w:p>
    <w:p w14:paraId="6F09C054" w14:textId="77777777" w:rsidR="000F733B" w:rsidRDefault="000F733B" w:rsidP="000F733B">
      <w:pPr>
        <w:pStyle w:val="Default"/>
        <w:rPr>
          <w:rFonts w:ascii="Verdana" w:hAnsi="Verdana" w:cstheme="minorHAnsi"/>
          <w:b/>
          <w:bCs/>
          <w:sz w:val="22"/>
          <w:szCs w:val="22"/>
        </w:rPr>
      </w:pPr>
    </w:p>
    <w:p w14:paraId="64243958" w14:textId="77777777" w:rsidR="000F733B" w:rsidRDefault="000F733B" w:rsidP="000F733B">
      <w:pPr>
        <w:pStyle w:val="Default"/>
        <w:rPr>
          <w:rFonts w:ascii="Verdana" w:hAnsi="Verdana" w:cstheme="minorHAnsi"/>
          <w:sz w:val="22"/>
          <w:szCs w:val="22"/>
        </w:rPr>
      </w:pPr>
      <w:r>
        <w:rPr>
          <w:rFonts w:ascii="Verdana" w:hAnsi="Verdana" w:cstheme="minorHAnsi"/>
          <w:b/>
          <w:bCs/>
          <w:sz w:val="22"/>
          <w:szCs w:val="22"/>
        </w:rPr>
        <w:lastRenderedPageBreak/>
        <w:t xml:space="preserve">Opinión sobre el cumplimiento legal y normativo </w:t>
      </w:r>
    </w:p>
    <w:p w14:paraId="5CB8D549" w14:textId="77777777" w:rsidR="000F733B" w:rsidRDefault="000F733B" w:rsidP="000F733B">
      <w:pPr>
        <w:pStyle w:val="Default"/>
        <w:rPr>
          <w:rFonts w:ascii="Verdana" w:hAnsi="Verdana" w:cstheme="minorHAnsi"/>
          <w:sz w:val="22"/>
          <w:szCs w:val="22"/>
        </w:rPr>
      </w:pPr>
    </w:p>
    <w:p w14:paraId="39DB3613" w14:textId="48BEB54C"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En mi </w:t>
      </w:r>
      <w:r w:rsidR="00D63EA5">
        <w:rPr>
          <w:rFonts w:ascii="Verdana" w:hAnsi="Verdana" w:cstheme="minorHAnsi"/>
          <w:sz w:val="22"/>
          <w:szCs w:val="22"/>
        </w:rPr>
        <w:t>opinión</w:t>
      </w:r>
      <w:r>
        <w:rPr>
          <w:rFonts w:ascii="Verdana" w:hAnsi="Verdana" w:cstheme="minorHAnsi"/>
          <w:sz w:val="22"/>
          <w:szCs w:val="22"/>
        </w:rPr>
        <w:t xml:space="preserve">, excepto por lo indicado en los Fundamentos de opinión con salvedades, la entidad ha dado cumplimiento a las leyes y regulaciones aplicables, </w:t>
      </w:r>
      <w:r w:rsidR="00D63EA5">
        <w:rPr>
          <w:rFonts w:ascii="Verdana" w:hAnsi="Verdana" w:cstheme="minorHAnsi"/>
          <w:sz w:val="22"/>
          <w:szCs w:val="22"/>
        </w:rPr>
        <w:t>así</w:t>
      </w:r>
      <w:r>
        <w:rPr>
          <w:rFonts w:ascii="Verdana" w:hAnsi="Verdana" w:cstheme="minorHAnsi"/>
          <w:sz w:val="22"/>
          <w:szCs w:val="22"/>
        </w:rPr>
        <w:t>́ como a las disposiciones estatutarias, de la asamblea de accionistas y de la junta directiva, en todos los aspectos importantes.</w:t>
      </w:r>
    </w:p>
    <w:p w14:paraId="29B6479A" w14:textId="77777777" w:rsidR="000F733B" w:rsidRDefault="000F733B" w:rsidP="000F733B">
      <w:pPr>
        <w:pStyle w:val="Default"/>
        <w:rPr>
          <w:rFonts w:ascii="Verdana" w:hAnsi="Verdana" w:cstheme="minorHAnsi"/>
          <w:b/>
          <w:bCs/>
          <w:sz w:val="22"/>
          <w:szCs w:val="22"/>
        </w:rPr>
      </w:pPr>
    </w:p>
    <w:p w14:paraId="50E5AA79" w14:textId="77777777" w:rsidR="000F733B" w:rsidRDefault="000F733B" w:rsidP="000F733B">
      <w:pPr>
        <w:pStyle w:val="Default"/>
        <w:rPr>
          <w:rFonts w:ascii="Verdana" w:hAnsi="Verdana" w:cstheme="minorHAnsi"/>
          <w:b/>
          <w:bCs/>
          <w:sz w:val="22"/>
          <w:szCs w:val="22"/>
        </w:rPr>
      </w:pPr>
      <w:r>
        <w:rPr>
          <w:rFonts w:ascii="Verdana" w:hAnsi="Verdana" w:cstheme="minorHAnsi"/>
          <w:b/>
          <w:bCs/>
          <w:sz w:val="22"/>
          <w:szCs w:val="22"/>
        </w:rPr>
        <w:t xml:space="preserve">Opinión sobre la efectividad del sistema de control interno </w:t>
      </w:r>
    </w:p>
    <w:p w14:paraId="15C9C165" w14:textId="77777777" w:rsidR="000F733B" w:rsidRDefault="000F733B" w:rsidP="000F733B">
      <w:pPr>
        <w:pStyle w:val="Default"/>
        <w:rPr>
          <w:rFonts w:ascii="Verdana" w:hAnsi="Verdana" w:cstheme="minorHAnsi"/>
          <w:sz w:val="22"/>
          <w:szCs w:val="22"/>
        </w:rPr>
      </w:pPr>
    </w:p>
    <w:p w14:paraId="780D0692" w14:textId="015FC78E"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En mi </w:t>
      </w:r>
      <w:r w:rsidR="00D63EA5">
        <w:rPr>
          <w:rFonts w:ascii="Verdana" w:hAnsi="Verdana" w:cstheme="minorHAnsi"/>
          <w:sz w:val="22"/>
          <w:szCs w:val="22"/>
        </w:rPr>
        <w:t>opinión</w:t>
      </w:r>
      <w:r>
        <w:rPr>
          <w:rFonts w:ascii="Verdana" w:hAnsi="Verdana" w:cstheme="minorHAnsi"/>
          <w:sz w:val="22"/>
          <w:szCs w:val="22"/>
        </w:rPr>
        <w:t>, excepto por lo indicado en los Fundamentos de opinión el control interno, es efectivo en todos los aspectos importantes, con base en el modelo COSO.</w:t>
      </w:r>
    </w:p>
    <w:p w14:paraId="26C208CD" w14:textId="77777777" w:rsidR="000F733B" w:rsidRDefault="000F733B" w:rsidP="000F733B">
      <w:pPr>
        <w:pStyle w:val="Default"/>
        <w:rPr>
          <w:rFonts w:ascii="Verdana" w:hAnsi="Verdana" w:cstheme="minorHAnsi"/>
          <w:sz w:val="22"/>
          <w:szCs w:val="22"/>
        </w:rPr>
      </w:pPr>
      <w:r>
        <w:rPr>
          <w:rFonts w:ascii="Verdana" w:hAnsi="Verdana" w:cstheme="minorHAnsi"/>
          <w:b/>
          <w:bCs/>
          <w:sz w:val="22"/>
          <w:szCs w:val="22"/>
        </w:rPr>
        <w:t>Párrafo de énfasis (en caso de ser necesario)</w:t>
      </w:r>
    </w:p>
    <w:p w14:paraId="7CD85A64" w14:textId="77777777" w:rsidR="000F733B" w:rsidRDefault="000F733B" w:rsidP="000F733B">
      <w:pPr>
        <w:pStyle w:val="Default"/>
        <w:jc w:val="both"/>
        <w:rPr>
          <w:rFonts w:ascii="Verdana" w:hAnsi="Verdana" w:cstheme="minorHAnsi"/>
          <w:i/>
          <w:iCs/>
          <w:sz w:val="22"/>
          <w:szCs w:val="22"/>
        </w:rPr>
      </w:pPr>
    </w:p>
    <w:p w14:paraId="131097D5" w14:textId="17C6C84E" w:rsidR="000F733B" w:rsidRDefault="000F733B" w:rsidP="000F733B">
      <w:pPr>
        <w:pStyle w:val="Default"/>
        <w:jc w:val="both"/>
        <w:rPr>
          <w:rFonts w:ascii="Verdana" w:hAnsi="Verdana" w:cstheme="minorHAnsi"/>
          <w:sz w:val="22"/>
          <w:szCs w:val="22"/>
        </w:rPr>
      </w:pPr>
      <w:r>
        <w:rPr>
          <w:rFonts w:ascii="Verdana" w:hAnsi="Verdana" w:cstheme="minorHAnsi"/>
          <w:sz w:val="22"/>
          <w:szCs w:val="22"/>
        </w:rPr>
        <w:t xml:space="preserve">Llamamos la </w:t>
      </w:r>
      <w:r w:rsidR="00D63EA5">
        <w:rPr>
          <w:rFonts w:ascii="Verdana" w:hAnsi="Verdana" w:cstheme="minorHAnsi"/>
          <w:sz w:val="22"/>
          <w:szCs w:val="22"/>
        </w:rPr>
        <w:t>atención</w:t>
      </w:r>
      <w:r>
        <w:rPr>
          <w:rFonts w:ascii="Verdana" w:hAnsi="Verdana" w:cstheme="minorHAnsi"/>
          <w:sz w:val="22"/>
          <w:szCs w:val="22"/>
        </w:rPr>
        <w:t xml:space="preserve"> sobre la </w:t>
      </w:r>
      <w:r>
        <w:rPr>
          <w:rFonts w:ascii="Verdana" w:hAnsi="Verdana" w:cstheme="minorHAnsi"/>
          <w:color w:val="FF0000"/>
          <w:sz w:val="22"/>
          <w:szCs w:val="22"/>
        </w:rPr>
        <w:t xml:space="preserve">Nota X </w:t>
      </w:r>
      <w:r>
        <w:rPr>
          <w:rFonts w:ascii="Verdana" w:hAnsi="Verdana" w:cstheme="minorHAnsi"/>
          <w:sz w:val="22"/>
          <w:szCs w:val="22"/>
        </w:rPr>
        <w:t xml:space="preserve">de los estados financieros, que describe los efectos de un incendio en las instalaciones de </w:t>
      </w:r>
      <w:r w:rsidR="00D63EA5">
        <w:rPr>
          <w:rFonts w:ascii="Verdana" w:hAnsi="Verdana" w:cstheme="minorHAnsi"/>
          <w:sz w:val="22"/>
          <w:szCs w:val="22"/>
        </w:rPr>
        <w:t>producción</w:t>
      </w:r>
      <w:r>
        <w:rPr>
          <w:rFonts w:ascii="Verdana" w:hAnsi="Verdana" w:cstheme="minorHAnsi"/>
          <w:sz w:val="22"/>
          <w:szCs w:val="22"/>
        </w:rPr>
        <w:t xml:space="preserve"> de la Sociedad. Nuestra </w:t>
      </w:r>
      <w:r w:rsidR="00D63EA5">
        <w:rPr>
          <w:rFonts w:ascii="Verdana" w:hAnsi="Verdana" w:cstheme="minorHAnsi"/>
          <w:sz w:val="22"/>
          <w:szCs w:val="22"/>
        </w:rPr>
        <w:t>opinión</w:t>
      </w:r>
      <w:r>
        <w:rPr>
          <w:rFonts w:ascii="Verdana" w:hAnsi="Verdana" w:cstheme="minorHAnsi"/>
          <w:sz w:val="22"/>
          <w:szCs w:val="22"/>
        </w:rPr>
        <w:t xml:space="preserve"> no ha sido modificada en </w:t>
      </w:r>
      <w:r w:rsidR="00D63EA5">
        <w:rPr>
          <w:rFonts w:ascii="Verdana" w:hAnsi="Verdana" w:cstheme="minorHAnsi"/>
          <w:sz w:val="22"/>
          <w:szCs w:val="22"/>
        </w:rPr>
        <w:t>relación</w:t>
      </w:r>
      <w:r>
        <w:rPr>
          <w:rFonts w:ascii="Verdana" w:hAnsi="Verdana" w:cstheme="minorHAnsi"/>
          <w:sz w:val="22"/>
          <w:szCs w:val="22"/>
        </w:rPr>
        <w:t xml:space="preserve"> con esta </w:t>
      </w:r>
      <w:r w:rsidR="00D63EA5">
        <w:rPr>
          <w:rFonts w:ascii="Verdana" w:hAnsi="Verdana" w:cstheme="minorHAnsi"/>
          <w:sz w:val="22"/>
          <w:szCs w:val="22"/>
        </w:rPr>
        <w:t>cuestión</w:t>
      </w:r>
      <w:r>
        <w:rPr>
          <w:rFonts w:ascii="Verdana" w:hAnsi="Verdana" w:cstheme="minorHAnsi"/>
          <w:sz w:val="22"/>
          <w:szCs w:val="22"/>
        </w:rPr>
        <w:t>.</w:t>
      </w:r>
    </w:p>
    <w:p w14:paraId="7E9D7043" w14:textId="77777777" w:rsidR="000F733B" w:rsidRDefault="000F733B" w:rsidP="000F733B">
      <w:pPr>
        <w:pStyle w:val="Default"/>
        <w:jc w:val="both"/>
        <w:rPr>
          <w:rFonts w:ascii="Verdana" w:hAnsi="Verdana" w:cstheme="minorHAnsi"/>
          <w:b/>
          <w:bCs/>
          <w:sz w:val="22"/>
          <w:szCs w:val="22"/>
        </w:rPr>
      </w:pPr>
    </w:p>
    <w:p w14:paraId="78E8A8C8" w14:textId="37D96C33" w:rsidR="000F733B" w:rsidRDefault="00D63EA5" w:rsidP="000F733B">
      <w:pPr>
        <w:pStyle w:val="Default"/>
        <w:jc w:val="both"/>
        <w:rPr>
          <w:rFonts w:ascii="Verdana" w:hAnsi="Verdana" w:cstheme="minorHAnsi"/>
          <w:b/>
          <w:bCs/>
          <w:sz w:val="22"/>
          <w:szCs w:val="22"/>
        </w:rPr>
      </w:pPr>
      <w:r>
        <w:rPr>
          <w:rFonts w:ascii="Verdana" w:hAnsi="Verdana" w:cstheme="minorHAnsi"/>
          <w:b/>
          <w:bCs/>
          <w:sz w:val="22"/>
          <w:szCs w:val="22"/>
        </w:rPr>
        <w:t>Párrafo</w:t>
      </w:r>
      <w:r w:rsidR="000F733B">
        <w:rPr>
          <w:rFonts w:ascii="Verdana" w:hAnsi="Verdana" w:cstheme="minorHAnsi"/>
          <w:b/>
          <w:bCs/>
          <w:sz w:val="22"/>
          <w:szCs w:val="22"/>
        </w:rPr>
        <w:t xml:space="preserve"> de Otras Cuestiones (en caso de ser necesario)</w:t>
      </w:r>
    </w:p>
    <w:p w14:paraId="109FF6F9" w14:textId="77777777" w:rsidR="000F733B" w:rsidRDefault="000F733B" w:rsidP="000F733B">
      <w:pPr>
        <w:pStyle w:val="Default"/>
        <w:jc w:val="both"/>
        <w:rPr>
          <w:rFonts w:ascii="Verdana" w:hAnsi="Verdana" w:cstheme="minorHAnsi"/>
          <w:sz w:val="22"/>
          <w:szCs w:val="22"/>
        </w:rPr>
      </w:pPr>
    </w:p>
    <w:p w14:paraId="63D25ABD" w14:textId="3AC568FA" w:rsidR="000F733B" w:rsidRPr="00D63EA5" w:rsidRDefault="000F733B" w:rsidP="000F733B">
      <w:pPr>
        <w:pStyle w:val="Default"/>
        <w:jc w:val="both"/>
        <w:rPr>
          <w:rFonts w:ascii="Verdana" w:hAnsi="Verdana" w:cstheme="minorHAnsi"/>
          <w:color w:val="FF0000"/>
          <w:sz w:val="22"/>
          <w:szCs w:val="22"/>
        </w:rPr>
      </w:pPr>
      <w:r>
        <w:rPr>
          <w:rFonts w:ascii="Verdana" w:hAnsi="Verdana" w:cstheme="minorHAnsi"/>
          <w:sz w:val="22"/>
          <w:szCs w:val="22"/>
        </w:rPr>
        <w:t xml:space="preserve">Los estados financieros de la sociedad </w:t>
      </w:r>
      <w:r>
        <w:rPr>
          <w:rFonts w:ascii="Verdana" w:hAnsi="Verdana" w:cstheme="minorHAnsi"/>
          <w:color w:val="FF0000"/>
          <w:sz w:val="22"/>
          <w:szCs w:val="22"/>
        </w:rPr>
        <w:t>Alfa S. A.</w:t>
      </w:r>
      <w:r>
        <w:rPr>
          <w:rFonts w:ascii="Verdana" w:hAnsi="Verdana" w:cstheme="minorHAnsi"/>
          <w:sz w:val="22"/>
          <w:szCs w:val="22"/>
        </w:rPr>
        <w:t xml:space="preserve"> correspondientes al ejercicio terminado a </w:t>
      </w:r>
      <w:r>
        <w:rPr>
          <w:rFonts w:ascii="Verdana" w:hAnsi="Verdana" w:cstheme="minorHAnsi"/>
          <w:color w:val="FF0000"/>
          <w:sz w:val="22"/>
          <w:szCs w:val="22"/>
        </w:rPr>
        <w:t>31 de diciembre de 20X</w:t>
      </w:r>
      <w:r w:rsidR="00D63EA5">
        <w:rPr>
          <w:rFonts w:ascii="Verdana" w:hAnsi="Verdana" w:cstheme="minorHAnsi"/>
          <w:color w:val="FF0000"/>
          <w:sz w:val="22"/>
          <w:szCs w:val="22"/>
        </w:rPr>
        <w:t>X</w:t>
      </w:r>
      <w:r>
        <w:rPr>
          <w:rFonts w:ascii="Verdana" w:hAnsi="Verdana" w:cstheme="minorHAnsi"/>
          <w:color w:val="FF0000"/>
          <w:sz w:val="22"/>
          <w:szCs w:val="22"/>
        </w:rPr>
        <w:t xml:space="preserve"> </w:t>
      </w:r>
      <w:r>
        <w:rPr>
          <w:rFonts w:ascii="Verdana" w:hAnsi="Verdana" w:cstheme="minorHAnsi"/>
          <w:sz w:val="22"/>
          <w:szCs w:val="22"/>
        </w:rPr>
        <w:t xml:space="preserve">fueron auditados por otro auditor que expresó una </w:t>
      </w:r>
      <w:r w:rsidR="00D63EA5">
        <w:rPr>
          <w:rFonts w:ascii="Verdana" w:hAnsi="Verdana" w:cstheme="minorHAnsi"/>
          <w:sz w:val="22"/>
          <w:szCs w:val="22"/>
        </w:rPr>
        <w:t>opinión</w:t>
      </w:r>
      <w:r>
        <w:rPr>
          <w:rFonts w:ascii="Verdana" w:hAnsi="Verdana" w:cstheme="minorHAnsi"/>
          <w:sz w:val="22"/>
          <w:szCs w:val="22"/>
        </w:rPr>
        <w:t xml:space="preserve"> no modificada (favorable) sobre dichos estados financieros el </w:t>
      </w:r>
      <w:r>
        <w:rPr>
          <w:rFonts w:ascii="Verdana" w:hAnsi="Verdana" w:cstheme="minorHAnsi"/>
          <w:color w:val="FF0000"/>
          <w:sz w:val="22"/>
          <w:szCs w:val="22"/>
        </w:rPr>
        <w:t>31 de marzo de 20X</w:t>
      </w:r>
      <w:r w:rsidR="00D63EA5">
        <w:rPr>
          <w:rFonts w:ascii="Verdana" w:hAnsi="Verdana" w:cstheme="minorHAnsi"/>
          <w:color w:val="FF0000"/>
          <w:sz w:val="22"/>
          <w:szCs w:val="22"/>
        </w:rPr>
        <w:t>X</w:t>
      </w:r>
      <w:r>
        <w:rPr>
          <w:rFonts w:ascii="Verdana" w:hAnsi="Verdana" w:cstheme="minorHAnsi"/>
          <w:color w:val="FF0000"/>
          <w:sz w:val="22"/>
          <w:szCs w:val="22"/>
        </w:rPr>
        <w:t>.</w:t>
      </w:r>
    </w:p>
    <w:p w14:paraId="17EFEBEA" w14:textId="77777777" w:rsidR="000F733B" w:rsidRDefault="000F733B" w:rsidP="000F733B">
      <w:pPr>
        <w:pStyle w:val="Default"/>
        <w:rPr>
          <w:rFonts w:ascii="Verdana" w:hAnsi="Verdana" w:cstheme="minorHAnsi"/>
          <w:i/>
          <w:iCs/>
          <w:sz w:val="22"/>
          <w:szCs w:val="22"/>
        </w:rPr>
      </w:pPr>
    </w:p>
    <w:p w14:paraId="6A3A2F05" w14:textId="77777777" w:rsidR="000F733B" w:rsidRDefault="000F733B" w:rsidP="000F733B">
      <w:pPr>
        <w:pStyle w:val="Default"/>
        <w:rPr>
          <w:rFonts w:ascii="Verdana" w:hAnsi="Verdana" w:cstheme="minorHAnsi"/>
          <w:i/>
          <w:iCs/>
          <w:sz w:val="22"/>
          <w:szCs w:val="22"/>
        </w:rPr>
      </w:pPr>
    </w:p>
    <w:p w14:paraId="552AC9CD" w14:textId="77777777" w:rsidR="000F733B" w:rsidRDefault="000F733B" w:rsidP="000F733B">
      <w:pPr>
        <w:pStyle w:val="Default"/>
        <w:rPr>
          <w:rFonts w:ascii="Verdana" w:hAnsi="Verdana" w:cstheme="minorHAnsi"/>
          <w:sz w:val="22"/>
          <w:szCs w:val="22"/>
        </w:rPr>
      </w:pPr>
    </w:p>
    <w:p w14:paraId="658CA865" w14:textId="77777777" w:rsidR="000F733B" w:rsidRDefault="000F733B" w:rsidP="000F733B">
      <w:pPr>
        <w:pStyle w:val="Default"/>
        <w:rPr>
          <w:rFonts w:ascii="Verdana" w:hAnsi="Verdana" w:cstheme="minorHAnsi"/>
          <w:sz w:val="22"/>
          <w:szCs w:val="22"/>
        </w:rPr>
      </w:pPr>
      <w:r>
        <w:rPr>
          <w:rFonts w:ascii="Verdana" w:hAnsi="Verdana" w:cstheme="minorHAnsi"/>
          <w:sz w:val="22"/>
          <w:szCs w:val="22"/>
        </w:rPr>
        <w:t>AAA.AAAAAAA</w:t>
      </w:r>
    </w:p>
    <w:p w14:paraId="571B5061" w14:textId="44280D13" w:rsidR="00D63EA5" w:rsidRDefault="000F733B" w:rsidP="000F733B">
      <w:pPr>
        <w:pStyle w:val="Default"/>
        <w:rPr>
          <w:rFonts w:ascii="Verdana" w:hAnsi="Verdana" w:cstheme="minorHAnsi"/>
          <w:sz w:val="22"/>
          <w:szCs w:val="22"/>
        </w:rPr>
      </w:pPr>
      <w:r>
        <w:rPr>
          <w:rFonts w:ascii="Verdana" w:hAnsi="Verdana" w:cstheme="minorHAnsi"/>
          <w:sz w:val="22"/>
          <w:szCs w:val="22"/>
        </w:rPr>
        <w:t xml:space="preserve">Revisor Fiscal </w:t>
      </w:r>
      <w:r w:rsidR="00D63EA5">
        <w:rPr>
          <w:rFonts w:ascii="Verdana" w:hAnsi="Verdana" w:cstheme="minorHAnsi"/>
          <w:sz w:val="22"/>
          <w:szCs w:val="22"/>
        </w:rPr>
        <w:t>– Auditor</w:t>
      </w:r>
    </w:p>
    <w:p w14:paraId="0853B9C3" w14:textId="6615383C" w:rsidR="000F733B" w:rsidRDefault="000F733B" w:rsidP="000F733B">
      <w:pPr>
        <w:pStyle w:val="Default"/>
        <w:rPr>
          <w:rFonts w:ascii="Verdana" w:hAnsi="Verdana" w:cstheme="minorHAnsi"/>
          <w:sz w:val="22"/>
          <w:szCs w:val="22"/>
        </w:rPr>
      </w:pPr>
      <w:r>
        <w:rPr>
          <w:rFonts w:ascii="Verdana" w:hAnsi="Verdana" w:cstheme="minorHAnsi"/>
          <w:sz w:val="22"/>
          <w:szCs w:val="22"/>
        </w:rPr>
        <w:t xml:space="preserve">T.P. N° 777777 </w:t>
      </w:r>
    </w:p>
    <w:p w14:paraId="0F0A1E66" w14:textId="7120922C" w:rsidR="000F733B" w:rsidRDefault="000F733B" w:rsidP="000F733B">
      <w:pPr>
        <w:pStyle w:val="Default"/>
        <w:rPr>
          <w:rFonts w:ascii="Verdana" w:hAnsi="Verdana" w:cstheme="minorHAnsi"/>
          <w:sz w:val="22"/>
          <w:szCs w:val="22"/>
        </w:rPr>
      </w:pPr>
      <w:r>
        <w:rPr>
          <w:rFonts w:ascii="Verdana" w:hAnsi="Verdana" w:cstheme="minorHAnsi"/>
          <w:sz w:val="22"/>
          <w:szCs w:val="22"/>
        </w:rPr>
        <w:t>Marzo 03 de 20</w:t>
      </w:r>
      <w:r w:rsidR="00D63EA5">
        <w:rPr>
          <w:rFonts w:ascii="Verdana" w:hAnsi="Verdana" w:cstheme="minorHAnsi"/>
          <w:sz w:val="22"/>
          <w:szCs w:val="22"/>
        </w:rPr>
        <w:t>XX</w:t>
      </w:r>
    </w:p>
    <w:p w14:paraId="123CD725" w14:textId="77777777" w:rsidR="000F733B" w:rsidRDefault="000F733B" w:rsidP="000F733B">
      <w:pPr>
        <w:pStyle w:val="Default"/>
        <w:rPr>
          <w:rFonts w:ascii="Verdana" w:hAnsi="Verdana" w:cstheme="minorHAnsi"/>
          <w:sz w:val="22"/>
          <w:szCs w:val="22"/>
        </w:rPr>
      </w:pPr>
      <w:r>
        <w:rPr>
          <w:rFonts w:ascii="Verdana" w:hAnsi="Verdana" w:cstheme="minorHAnsi"/>
          <w:sz w:val="22"/>
          <w:szCs w:val="22"/>
        </w:rPr>
        <w:t xml:space="preserve">Carrera 577 N° 127-37 </w:t>
      </w:r>
    </w:p>
    <w:p w14:paraId="431660BC" w14:textId="77777777" w:rsidR="000F733B" w:rsidRDefault="000F733B" w:rsidP="000F733B">
      <w:pPr>
        <w:rPr>
          <w:rFonts w:ascii="Verdana" w:hAnsi="Verdana" w:cstheme="minorHAnsi"/>
          <w:sz w:val="22"/>
          <w:szCs w:val="22"/>
          <w:lang w:val="es-ES"/>
        </w:rPr>
      </w:pPr>
      <w:r>
        <w:rPr>
          <w:rFonts w:ascii="Verdana" w:hAnsi="Verdana" w:cstheme="minorHAnsi"/>
          <w:sz w:val="22"/>
          <w:szCs w:val="22"/>
          <w:lang w:val="es-ES"/>
        </w:rPr>
        <w:t>Bogotá, Colombia</w:t>
      </w:r>
    </w:p>
    <w:p w14:paraId="4C89F246" w14:textId="77777777" w:rsidR="000F733B" w:rsidRDefault="000F733B" w:rsidP="000F733B">
      <w:pPr>
        <w:pStyle w:val="NormalWeb"/>
        <w:rPr>
          <w:rFonts w:ascii="Verdana" w:hAnsi="Verdana" w:cs="Arial"/>
          <w:sz w:val="22"/>
          <w:szCs w:val="22"/>
          <w:lang w:val="es-ES"/>
        </w:rPr>
      </w:pPr>
    </w:p>
    <w:p w14:paraId="6320496F" w14:textId="77777777" w:rsidR="000F733B" w:rsidRDefault="000F733B" w:rsidP="000F733B">
      <w:pPr>
        <w:pStyle w:val="NormalWeb"/>
        <w:rPr>
          <w:rFonts w:ascii="Verdana" w:hAnsi="Verdana" w:cs="Arial"/>
          <w:sz w:val="22"/>
          <w:szCs w:val="22"/>
          <w:lang w:val="es-ES"/>
        </w:rPr>
      </w:pPr>
    </w:p>
    <w:p w14:paraId="68AE17A4" w14:textId="77777777" w:rsidR="000F733B" w:rsidRDefault="000F733B" w:rsidP="000F733B">
      <w:pPr>
        <w:pStyle w:val="NormalWeb"/>
        <w:rPr>
          <w:rFonts w:ascii="Verdana" w:hAnsi="Verdana" w:cs="Arial"/>
          <w:sz w:val="22"/>
          <w:szCs w:val="22"/>
          <w:lang w:val="es-ES"/>
        </w:rPr>
      </w:pPr>
    </w:p>
    <w:p w14:paraId="79CDD321" w14:textId="77777777" w:rsidR="000F733B" w:rsidRDefault="000F733B" w:rsidP="000F733B">
      <w:pPr>
        <w:pStyle w:val="NormalWeb"/>
        <w:rPr>
          <w:rFonts w:ascii="Verdana" w:hAnsi="Verdana" w:cs="Arial"/>
          <w:sz w:val="22"/>
          <w:szCs w:val="22"/>
          <w:lang w:val="es-ES"/>
        </w:rPr>
      </w:pPr>
    </w:p>
    <w:p w14:paraId="6829900C" w14:textId="77777777" w:rsidR="000F733B" w:rsidRDefault="000F733B" w:rsidP="000F733B">
      <w:pPr>
        <w:pStyle w:val="NormalWeb"/>
        <w:rPr>
          <w:rFonts w:ascii="Verdana" w:hAnsi="Verdana" w:cs="Arial"/>
          <w:sz w:val="22"/>
          <w:szCs w:val="22"/>
          <w:lang w:val="es-ES"/>
        </w:rPr>
      </w:pPr>
    </w:p>
    <w:p w14:paraId="1D880E54" w14:textId="77777777" w:rsidR="000F733B" w:rsidRDefault="000F733B" w:rsidP="000F733B">
      <w:pPr>
        <w:pStyle w:val="NormalWeb"/>
        <w:rPr>
          <w:rFonts w:ascii="Verdana" w:hAnsi="Verdana" w:cs="Arial"/>
          <w:sz w:val="22"/>
          <w:szCs w:val="22"/>
          <w:lang w:val="es-ES"/>
        </w:rPr>
      </w:pPr>
    </w:p>
    <w:p w14:paraId="079A6A8F" w14:textId="77777777" w:rsidR="000F733B" w:rsidRDefault="000F733B" w:rsidP="000F733B">
      <w:pPr>
        <w:pStyle w:val="NormalWeb"/>
        <w:rPr>
          <w:rFonts w:ascii="Verdana" w:hAnsi="Verdana" w:cs="Arial"/>
          <w:sz w:val="22"/>
          <w:szCs w:val="22"/>
          <w:lang w:val="es-ES"/>
        </w:rPr>
      </w:pPr>
    </w:p>
    <w:sectPr w:rsidR="000F73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D1EEE"/>
    <w:multiLevelType w:val="hybridMultilevel"/>
    <w:tmpl w:val="EBF82DCE"/>
    <w:lvl w:ilvl="0" w:tplc="1AFA2F7A">
      <w:start w:val="3"/>
      <w:numFmt w:val="bullet"/>
      <w:lvlText w:val="•"/>
      <w:lvlJc w:val="left"/>
      <w:pPr>
        <w:ind w:left="1080" w:hanging="72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3E706A"/>
    <w:multiLevelType w:val="hybridMultilevel"/>
    <w:tmpl w:val="C1686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202813"/>
    <w:multiLevelType w:val="hybridMultilevel"/>
    <w:tmpl w:val="426ED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125337"/>
    <w:multiLevelType w:val="hybridMultilevel"/>
    <w:tmpl w:val="465E0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7251DD"/>
    <w:multiLevelType w:val="hybridMultilevel"/>
    <w:tmpl w:val="BBBEE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3B"/>
    <w:rsid w:val="000F733B"/>
    <w:rsid w:val="00330967"/>
    <w:rsid w:val="00CE6823"/>
    <w:rsid w:val="00D63EA5"/>
    <w:rsid w:val="00F66D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C3E4"/>
  <w15:chartTrackingRefBased/>
  <w15:docId w15:val="{808ABF8F-AF96-4730-BBB2-637D1B87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3B"/>
    <w:pPr>
      <w:spacing w:after="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733B"/>
    <w:pPr>
      <w:spacing w:before="100" w:beforeAutospacing="1" w:after="100" w:afterAutospacing="1"/>
    </w:pPr>
    <w:rPr>
      <w:rFonts w:ascii="Times New Roman" w:eastAsia="Times New Roman" w:hAnsi="Times New Roman" w:cs="Times New Roman"/>
    </w:rPr>
  </w:style>
  <w:style w:type="paragraph" w:styleId="Prrafodelista">
    <w:name w:val="List Paragraph"/>
    <w:basedOn w:val="Normal"/>
    <w:uiPriority w:val="34"/>
    <w:qFormat/>
    <w:rsid w:val="000F733B"/>
    <w:pPr>
      <w:ind w:left="720"/>
      <w:contextualSpacing/>
    </w:pPr>
    <w:rPr>
      <w:rFonts w:ascii="Times New Roman" w:eastAsia="Times New Roman" w:hAnsi="Times New Roman" w:cs="Times New Roman"/>
    </w:rPr>
  </w:style>
  <w:style w:type="paragraph" w:customStyle="1" w:styleId="Default">
    <w:name w:val="Default"/>
    <w:uiPriority w:val="99"/>
    <w:rsid w:val="000F73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5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2638</Words>
  <Characters>14514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Erika Gómez López</dc:creator>
  <cp:keywords/>
  <dc:description/>
  <cp:lastModifiedBy>Usuario Técnico</cp:lastModifiedBy>
  <cp:revision>3</cp:revision>
  <dcterms:created xsi:type="dcterms:W3CDTF">2020-04-01T22:42:00Z</dcterms:created>
  <dcterms:modified xsi:type="dcterms:W3CDTF">2021-05-25T14:01:00Z</dcterms:modified>
</cp:coreProperties>
</file>